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35" w:rsidRPr="006E0C4E" w:rsidRDefault="007D4935" w:rsidP="006E0C4E">
      <w:pPr>
        <w:outlineLvl w:val="0"/>
        <w:rPr>
          <w:rFonts w:ascii="Calibri" w:hAnsi="Calibri" w:cs="Calibri"/>
          <w:b/>
          <w:bCs/>
          <w:color w:val="0070C0"/>
          <w:sz w:val="24"/>
          <w:szCs w:val="24"/>
        </w:rPr>
      </w:pPr>
      <w:r w:rsidRPr="006E0C4E">
        <w:rPr>
          <w:rFonts w:ascii="Calibri" w:hAnsi="Calibri" w:cs="Calibri"/>
          <w:b/>
          <w:bCs/>
          <w:color w:val="0070C0"/>
          <w:sz w:val="24"/>
          <w:szCs w:val="24"/>
        </w:rPr>
        <w:t xml:space="preserve">M5: Fact Sheet – Alkohol und Drogen im Straßenverkehr </w:t>
      </w:r>
    </w:p>
    <w:p w:rsidR="007D4935" w:rsidRPr="006E0C4E" w:rsidRDefault="007D4935" w:rsidP="00165524">
      <w:pPr>
        <w:pStyle w:val="Listenabsatz"/>
        <w:numPr>
          <w:ilvl w:val="0"/>
          <w:numId w:val="36"/>
        </w:numPr>
        <w:spacing w:after="0" w:line="269" w:lineRule="auto"/>
        <w:rPr>
          <w:rFonts w:ascii="Calibri" w:hAnsi="Calibri" w:cs="Calibri"/>
          <w:b/>
          <w:bCs/>
          <w:sz w:val="24"/>
          <w:szCs w:val="24"/>
        </w:rPr>
      </w:pPr>
      <w:r w:rsidRPr="006E0C4E">
        <w:rPr>
          <w:rFonts w:ascii="Calibri" w:hAnsi="Calibri" w:cs="Calibri"/>
          <w:b/>
          <w:bCs/>
          <w:sz w:val="24"/>
          <w:szCs w:val="24"/>
        </w:rPr>
        <w:t>Unfallzahlen im Straßenverkehr: Alkohol und Drogen</w:t>
      </w:r>
    </w:p>
    <w:p w:rsidR="007D4935" w:rsidRPr="006E0C4E" w:rsidRDefault="007D4935" w:rsidP="00165524">
      <w:pPr>
        <w:rPr>
          <w:rFonts w:ascii="Calibri" w:hAnsi="Calibri" w:cs="Calibri"/>
          <w:sz w:val="24"/>
          <w:szCs w:val="24"/>
        </w:rPr>
      </w:pPr>
      <w:r w:rsidRPr="006E0C4E">
        <w:rPr>
          <w:rFonts w:ascii="Calibri" w:hAnsi="Calibri" w:cs="Calibri"/>
          <w:sz w:val="24"/>
          <w:szCs w:val="24"/>
        </w:rPr>
        <w:t xml:space="preserve">Betrachtet man die Anzahl der Verkehrstoten nach Unfallursachen im Jahr 2015, sind davon gut 7 Prozent auf Alkoholeinfluss zurückzuführen. Insgesamt wurden im Jahr 2015 3.459 Verkehrsteilnehmer getötet und 67.706 schwerverletzt. Bei Alkoholunfällen betrug die Anzahl der Getöteten 256, die der Schwerverletzten 4.590. Bei Unfällen mit Personenschaden unter dem Einfluss anderer berauschender Mittel (z.B. Drogen, Medikamente) wurden im Jahr 2015 insgesamt 43 Personen getötet und 638 schwer verletzt. Gegenüber dem Vorjahr bedeutet das einen Anstieg von einer Person bzw. 41 Personen (2014: 42 </w:t>
      </w:r>
      <w:proofErr w:type="gramStart"/>
      <w:r w:rsidRPr="006E0C4E">
        <w:rPr>
          <w:rFonts w:ascii="Calibri" w:hAnsi="Calibri" w:cs="Calibri"/>
          <w:sz w:val="24"/>
          <w:szCs w:val="24"/>
        </w:rPr>
        <w:t>Getötete</w:t>
      </w:r>
      <w:proofErr w:type="gramEnd"/>
      <w:r w:rsidRPr="006E0C4E">
        <w:rPr>
          <w:rFonts w:ascii="Calibri" w:hAnsi="Calibri" w:cs="Calibri"/>
          <w:sz w:val="24"/>
          <w:szCs w:val="24"/>
        </w:rPr>
        <w:t xml:space="preserve">, 597 Schwerverletzte). </w:t>
      </w:r>
    </w:p>
    <w:p w:rsidR="007D4935" w:rsidRPr="006E0C4E" w:rsidRDefault="007D4935" w:rsidP="00165524">
      <w:pPr>
        <w:numPr>
          <w:ilvl w:val="0"/>
          <w:numId w:val="29"/>
        </w:numPr>
        <w:spacing w:after="0" w:line="269" w:lineRule="auto"/>
        <w:ind w:left="357" w:hanging="357"/>
        <w:rPr>
          <w:rFonts w:ascii="Calibri" w:hAnsi="Calibri" w:cs="Calibri"/>
          <w:b/>
          <w:bCs/>
          <w:sz w:val="24"/>
          <w:szCs w:val="24"/>
        </w:rPr>
      </w:pPr>
      <w:r w:rsidRPr="006E0C4E">
        <w:rPr>
          <w:rFonts w:ascii="Calibri" w:hAnsi="Calibri" w:cs="Calibri"/>
          <w:sz w:val="24"/>
          <w:szCs w:val="24"/>
        </w:rPr>
        <w:t xml:space="preserve">In der Altersgruppe der 15- bis 18-Jährigen wurden 2015 9.370 Unfallursachennennungen polizeilich erfasst, die auf ein Fehlverhalten der Fahrzeugführer (z. B. Abstand, falsche Straßenbenutzung, Überholen, Vorfahrt, Alkohol und Drogen etc.) zurückzuführen sind. Davon entfielen 213 Nennungen auf Alkoholeinfluss und 37 auf den Einfluss anderer berauschender Mittel. </w:t>
      </w:r>
    </w:p>
    <w:p w:rsidR="007D4935" w:rsidRPr="006E0C4E" w:rsidRDefault="007D4935" w:rsidP="00165524">
      <w:pPr>
        <w:numPr>
          <w:ilvl w:val="0"/>
          <w:numId w:val="29"/>
        </w:numPr>
        <w:spacing w:after="0"/>
        <w:ind w:left="357" w:hanging="357"/>
        <w:rPr>
          <w:rFonts w:ascii="Calibri" w:hAnsi="Calibri" w:cs="Calibri"/>
          <w:sz w:val="24"/>
          <w:szCs w:val="24"/>
        </w:rPr>
      </w:pPr>
      <w:r w:rsidRPr="006E0C4E">
        <w:rPr>
          <w:rFonts w:ascii="Calibri" w:hAnsi="Calibri" w:cs="Calibri"/>
          <w:sz w:val="24"/>
          <w:szCs w:val="24"/>
        </w:rPr>
        <w:t xml:space="preserve">In der Altersgruppe der 18- bis 21-Jährigen wurde 2015 ein Fehlverhalten des Fahrzeugführers in 30.370 Fällen als Unfallursache erfasst. 890 Mal wurde hier Alkoholeinfluss genannt und </w:t>
      </w:r>
      <w:proofErr w:type="gramStart"/>
      <w:r w:rsidRPr="006E0C4E">
        <w:rPr>
          <w:rFonts w:ascii="Calibri" w:hAnsi="Calibri" w:cs="Calibri"/>
          <w:sz w:val="24"/>
          <w:szCs w:val="24"/>
        </w:rPr>
        <w:t>184 mal</w:t>
      </w:r>
      <w:proofErr w:type="gramEnd"/>
      <w:r w:rsidRPr="006E0C4E">
        <w:rPr>
          <w:rFonts w:ascii="Calibri" w:hAnsi="Calibri" w:cs="Calibri"/>
          <w:sz w:val="24"/>
          <w:szCs w:val="24"/>
        </w:rPr>
        <w:t xml:space="preserve"> der Einfluss anderer berauschender Mittel.</w:t>
      </w:r>
      <w:r w:rsidRPr="006E0C4E">
        <w:rPr>
          <w:rStyle w:val="Funotenzeichen"/>
          <w:rFonts w:ascii="Calibri" w:hAnsi="Calibri" w:cs="Calibri"/>
          <w:sz w:val="24"/>
          <w:szCs w:val="24"/>
        </w:rPr>
        <w:footnoteReference w:id="1"/>
      </w:r>
    </w:p>
    <w:p w:rsidR="007D4935" w:rsidRPr="006E0C4E" w:rsidRDefault="007D4935" w:rsidP="00165524">
      <w:pPr>
        <w:rPr>
          <w:rFonts w:ascii="Calibri" w:hAnsi="Calibri" w:cs="Calibri"/>
          <w:sz w:val="24"/>
          <w:szCs w:val="24"/>
        </w:rPr>
      </w:pPr>
    </w:p>
    <w:p w:rsidR="007D4935" w:rsidRPr="006E0C4E" w:rsidRDefault="007D4935" w:rsidP="00165524">
      <w:pPr>
        <w:pStyle w:val="Listenabsatz"/>
        <w:numPr>
          <w:ilvl w:val="0"/>
          <w:numId w:val="36"/>
        </w:numPr>
        <w:spacing w:after="0" w:line="269" w:lineRule="auto"/>
        <w:rPr>
          <w:rFonts w:ascii="Calibri" w:hAnsi="Calibri" w:cs="Calibri"/>
          <w:b/>
          <w:bCs/>
          <w:sz w:val="24"/>
          <w:szCs w:val="24"/>
        </w:rPr>
      </w:pPr>
      <w:r w:rsidRPr="006E0C4E">
        <w:rPr>
          <w:rFonts w:ascii="Calibri" w:hAnsi="Calibri" w:cs="Calibri"/>
          <w:b/>
          <w:bCs/>
          <w:sz w:val="24"/>
          <w:szCs w:val="24"/>
        </w:rPr>
        <w:t xml:space="preserve">Allgemeine Informationen </w:t>
      </w:r>
    </w:p>
    <w:p w:rsidR="007D4935" w:rsidRPr="006E0C4E" w:rsidRDefault="007D4935" w:rsidP="00165524">
      <w:pPr>
        <w:pStyle w:val="Listenabsatz"/>
        <w:numPr>
          <w:ilvl w:val="0"/>
          <w:numId w:val="37"/>
        </w:numPr>
        <w:spacing w:after="0" w:line="269" w:lineRule="auto"/>
        <w:rPr>
          <w:rFonts w:ascii="Calibri" w:hAnsi="Calibri" w:cs="Calibri"/>
          <w:sz w:val="24"/>
          <w:szCs w:val="24"/>
        </w:rPr>
      </w:pPr>
      <w:r w:rsidRPr="006E0C4E">
        <w:rPr>
          <w:rFonts w:ascii="Calibri" w:hAnsi="Calibri" w:cs="Calibri"/>
          <w:sz w:val="24"/>
          <w:szCs w:val="24"/>
        </w:rPr>
        <w:t>Die tatsächliche Zahl der Unfälle unter dem Einfluss berauschender Mittel ist höher als die offiziell ermittelten Zahlen. Diese Dunkelziffer entsteht, weil nicht bei jedem Unfall ein Alkohol- oder Drogentest vorgenommen wird.</w:t>
      </w:r>
      <w:r w:rsidRPr="006E0C4E">
        <w:rPr>
          <w:rStyle w:val="Funotenzeichen"/>
          <w:rFonts w:ascii="Calibri" w:hAnsi="Calibri" w:cs="Calibri"/>
          <w:sz w:val="24"/>
          <w:szCs w:val="24"/>
        </w:rPr>
        <w:footnoteReference w:id="2"/>
      </w:r>
      <w:r w:rsidRPr="006E0C4E">
        <w:rPr>
          <w:rFonts w:ascii="Calibri" w:hAnsi="Calibri" w:cs="Calibri"/>
          <w:sz w:val="24"/>
          <w:szCs w:val="24"/>
        </w:rPr>
        <w:t xml:space="preserve"> </w:t>
      </w:r>
    </w:p>
    <w:p w:rsidR="007D4935" w:rsidRPr="006E0C4E" w:rsidRDefault="007D4935" w:rsidP="00165524">
      <w:pPr>
        <w:pStyle w:val="Listenabsatz"/>
        <w:numPr>
          <w:ilvl w:val="0"/>
          <w:numId w:val="29"/>
        </w:numPr>
        <w:spacing w:after="0" w:line="269" w:lineRule="auto"/>
        <w:rPr>
          <w:rFonts w:ascii="Calibri" w:hAnsi="Calibri" w:cs="Calibri"/>
          <w:b/>
          <w:bCs/>
          <w:sz w:val="24"/>
          <w:szCs w:val="24"/>
        </w:rPr>
      </w:pPr>
      <w:r w:rsidRPr="006E0C4E">
        <w:rPr>
          <w:rFonts w:ascii="Calibri" w:hAnsi="Calibri" w:cs="Calibri"/>
          <w:sz w:val="24"/>
          <w:szCs w:val="24"/>
        </w:rPr>
        <w:t>Alkohol und Drogen im Straßenverkehr sind vor allem ein Problem bei jüngeren Altersgruppen. Besonders an den Wochenenden verunglücken besonders häufig Fahranfänger und junge Fahrer im Straßenverkehr. Bei diesen Unfällen sind, neben Alkohol, häufig auch Drogen im Spiel. Fahrten unter Drogeneinfluss finden vor allem dann statt, wenn die jungen Fahrer auf das Auto angewiesen sind, zum Beispiel um nach einer Veranstaltung nach Hause zu fahren. Dies kommt verstärkt i</w:t>
      </w:r>
      <w:r>
        <w:rPr>
          <w:rFonts w:ascii="Calibri" w:hAnsi="Calibri" w:cs="Calibri"/>
          <w:sz w:val="24"/>
          <w:szCs w:val="24"/>
        </w:rPr>
        <w:t>n</w:t>
      </w:r>
      <w:r w:rsidRPr="006E0C4E">
        <w:rPr>
          <w:rFonts w:ascii="Calibri" w:hAnsi="Calibri" w:cs="Calibri"/>
          <w:sz w:val="24"/>
          <w:szCs w:val="24"/>
        </w:rPr>
        <w:t xml:space="preserve"> ländlichen R</w:t>
      </w:r>
      <w:r>
        <w:rPr>
          <w:rFonts w:ascii="Calibri" w:hAnsi="Calibri" w:cs="Calibri"/>
          <w:sz w:val="24"/>
          <w:szCs w:val="24"/>
        </w:rPr>
        <w:t>äumen</w:t>
      </w:r>
      <w:r w:rsidRPr="006E0C4E">
        <w:rPr>
          <w:rFonts w:ascii="Calibri" w:hAnsi="Calibri" w:cs="Calibri"/>
          <w:sz w:val="24"/>
          <w:szCs w:val="24"/>
        </w:rPr>
        <w:t xml:space="preserve"> vor, in denen oft keine alternativen Verkehrsmittel zur Verfügung stehen.</w:t>
      </w:r>
      <w:r>
        <w:rPr>
          <w:rFonts w:ascii="Calibri" w:hAnsi="Calibri" w:cs="Calibri"/>
          <w:sz w:val="24"/>
          <w:szCs w:val="24"/>
        </w:rPr>
        <w:t xml:space="preserve"> </w:t>
      </w:r>
    </w:p>
    <w:p w:rsidR="007D4935" w:rsidRPr="006E0C4E" w:rsidRDefault="007D4935" w:rsidP="00165524">
      <w:pPr>
        <w:pStyle w:val="Listenabsatz"/>
        <w:numPr>
          <w:ilvl w:val="0"/>
          <w:numId w:val="29"/>
        </w:numPr>
        <w:spacing w:after="0" w:line="269" w:lineRule="auto"/>
        <w:rPr>
          <w:rFonts w:ascii="Calibri" w:hAnsi="Calibri" w:cs="Calibri"/>
          <w:b/>
          <w:bCs/>
          <w:sz w:val="24"/>
          <w:szCs w:val="24"/>
        </w:rPr>
      </w:pPr>
      <w:r w:rsidRPr="006E0C4E">
        <w:rPr>
          <w:rFonts w:ascii="Calibri" w:hAnsi="Calibri" w:cs="Calibri"/>
          <w:sz w:val="24"/>
          <w:szCs w:val="24"/>
        </w:rPr>
        <w:t>Der Konsum von Party- und Designerdrogen wird bewusst vollzogen und als Teil der Lebens- und Freizeitkultur angesehen. Es fehlt häufig ein Unrechtsbewusstsein für dieses Verhalten, auch weil der Spaßfaktor von jungen Menschen höher eingestuft wird, als die potenzielle Gefahr für sich selbst und andere. Auch Gefahren beim Fahren unter Drogeneinfluss werden oftmals unterschätzt.</w:t>
      </w:r>
      <w:r w:rsidRPr="006E0C4E">
        <w:rPr>
          <w:rStyle w:val="Funotenzeichen"/>
          <w:rFonts w:ascii="Calibri" w:hAnsi="Calibri" w:cs="Calibri"/>
          <w:sz w:val="24"/>
          <w:szCs w:val="24"/>
        </w:rPr>
        <w:footnoteReference w:id="3"/>
      </w:r>
    </w:p>
    <w:p w:rsidR="007D4935" w:rsidRPr="006E0C4E" w:rsidRDefault="007D4935" w:rsidP="00165524">
      <w:pPr>
        <w:rPr>
          <w:rFonts w:ascii="Calibri" w:hAnsi="Calibri" w:cs="Calibri"/>
          <w:b/>
          <w:bCs/>
          <w:sz w:val="24"/>
          <w:szCs w:val="24"/>
        </w:rPr>
      </w:pPr>
    </w:p>
    <w:p w:rsidR="007D4935" w:rsidRPr="006E0C4E" w:rsidRDefault="007D4935" w:rsidP="00165524">
      <w:pPr>
        <w:pStyle w:val="Listenabsatz"/>
        <w:numPr>
          <w:ilvl w:val="0"/>
          <w:numId w:val="36"/>
        </w:numPr>
        <w:spacing w:after="0" w:line="269" w:lineRule="auto"/>
        <w:rPr>
          <w:rFonts w:ascii="Calibri" w:hAnsi="Calibri" w:cs="Calibri"/>
          <w:sz w:val="24"/>
          <w:szCs w:val="24"/>
        </w:rPr>
      </w:pPr>
      <w:r w:rsidRPr="006E0C4E">
        <w:rPr>
          <w:rFonts w:ascii="Calibri" w:hAnsi="Calibri" w:cs="Calibri"/>
          <w:b/>
          <w:bCs/>
          <w:sz w:val="24"/>
          <w:szCs w:val="24"/>
        </w:rPr>
        <w:lastRenderedPageBreak/>
        <w:t>Allgemeine Informationen zur Wirkung von Alkohol</w:t>
      </w:r>
      <w:r w:rsidRPr="006E0C4E">
        <w:rPr>
          <w:rStyle w:val="Funotenzeichen"/>
          <w:rFonts w:ascii="Calibri" w:hAnsi="Calibri" w:cs="Calibri"/>
          <w:b/>
          <w:bCs/>
          <w:sz w:val="24"/>
          <w:szCs w:val="24"/>
        </w:rPr>
        <w:footnoteReference w:id="4"/>
      </w:r>
      <w:r w:rsidRPr="006E0C4E">
        <w:rPr>
          <w:rFonts w:ascii="Calibri" w:hAnsi="Calibri" w:cs="Calibri"/>
          <w:b/>
          <w:bCs/>
          <w:sz w:val="24"/>
          <w:szCs w:val="24"/>
        </w:rPr>
        <w:br/>
      </w:r>
      <w:r w:rsidRPr="006E0C4E">
        <w:rPr>
          <w:rFonts w:ascii="Calibri" w:hAnsi="Calibri" w:cs="Calibri"/>
          <w:sz w:val="24"/>
          <w:szCs w:val="24"/>
        </w:rPr>
        <w:t>Im Jahr 2014 lag der Pro-Kopf-Verbrauch an reinem Alkohol in Deutschland bei 9,6 Litern</w:t>
      </w:r>
      <w:r w:rsidRPr="006E0C4E">
        <w:rPr>
          <w:rStyle w:val="Funotenzeichen"/>
          <w:rFonts w:ascii="Calibri" w:hAnsi="Calibri" w:cs="Calibri"/>
          <w:sz w:val="24"/>
          <w:szCs w:val="24"/>
        </w:rPr>
        <w:footnoteReference w:id="5"/>
      </w:r>
      <w:r w:rsidRPr="006E0C4E">
        <w:rPr>
          <w:rFonts w:ascii="Calibri" w:hAnsi="Calibri" w:cs="Calibri"/>
          <w:sz w:val="24"/>
          <w:szCs w:val="24"/>
        </w:rPr>
        <w:t>. Betrachtet man den Konsum von Jugendlichen und jungen Erwachsenen, ist episodisches Rauschtrinken ein weit verbreitetes Phänomen. Nach aktuellen Zahlen von 2015 betreiben 12,9 Prozent der 12- bis 17-Jährigen mindestens einmal monatlich Rauschtrinken, bei den 18- bis 25-Jährigen sind es 35,4 Prozent</w:t>
      </w:r>
      <w:r w:rsidRPr="006E0C4E">
        <w:rPr>
          <w:rStyle w:val="Funotenzeichen"/>
          <w:rFonts w:ascii="Calibri" w:hAnsi="Calibri" w:cs="Calibri"/>
          <w:sz w:val="24"/>
          <w:szCs w:val="24"/>
        </w:rPr>
        <w:footnoteReference w:id="6"/>
      </w:r>
      <w:r w:rsidRPr="006E0C4E">
        <w:rPr>
          <w:rFonts w:ascii="Calibri" w:hAnsi="Calibri" w:cs="Calibri"/>
          <w:sz w:val="24"/>
          <w:szCs w:val="24"/>
        </w:rPr>
        <w:t>.</w:t>
      </w:r>
      <w:r w:rsidRPr="006E0C4E">
        <w:rPr>
          <w:rFonts w:ascii="Calibri" w:hAnsi="Calibri" w:cs="Calibri"/>
          <w:sz w:val="24"/>
          <w:szCs w:val="24"/>
        </w:rPr>
        <w:br/>
      </w:r>
      <w:r w:rsidRPr="006E0C4E">
        <w:rPr>
          <w:rFonts w:ascii="Calibri" w:hAnsi="Calibri" w:cs="Calibri"/>
          <w:sz w:val="24"/>
          <w:szCs w:val="24"/>
        </w:rPr>
        <w:br/>
        <w:t>Näherungsweise Berechnung der Alkoholkonzentration des Blutes:</w:t>
      </w:r>
    </w:p>
    <w:p w:rsidR="007D4935" w:rsidRPr="006E0C4E" w:rsidRDefault="007D4935" w:rsidP="00165524">
      <w:pPr>
        <w:ind w:left="360"/>
        <w:rPr>
          <w:rFonts w:ascii="Calibri" w:hAnsi="Calibri" w:cs="Calibri"/>
          <w:sz w:val="24"/>
          <w:szCs w:val="24"/>
        </w:rPr>
      </w:pPr>
      <w:r w:rsidRPr="006E0C4E">
        <w:rPr>
          <w:rFonts w:ascii="Calibri" w:hAnsi="Calibri" w:cs="Calibri"/>
          <w:sz w:val="24"/>
          <w:szCs w:val="24"/>
        </w:rPr>
        <w:t>Bei Männern:</w:t>
      </w:r>
      <w:r w:rsidRPr="006E0C4E">
        <w:rPr>
          <w:rFonts w:ascii="Calibri" w:hAnsi="Calibri" w:cs="Calibri"/>
          <w:sz w:val="24"/>
          <w:szCs w:val="24"/>
        </w:rPr>
        <w:tab/>
      </w:r>
      <w:r w:rsidRPr="006E7E51">
        <w:rPr>
          <w:rFonts w:ascii="Calibri" w:hAnsi="Calibri" w:cs="Calibri"/>
          <w:sz w:val="24"/>
          <w:szCs w:val="24"/>
        </w:rPr>
        <w:fldChar w:fldCharType="begin"/>
      </w:r>
      <w:r w:rsidRPr="006E7E51">
        <w:rPr>
          <w:rFonts w:ascii="Calibri" w:hAnsi="Calibri" w:cs="Calibri"/>
          <w:sz w:val="24"/>
          <w:szCs w:val="24"/>
        </w:rPr>
        <w:instrText xml:space="preserve"> QUOTE </w:instrText>
      </w:r>
      <w:r w:rsidR="00590334">
        <w:rPr>
          <w:noProof/>
        </w:rPr>
        <w:drawing>
          <wp:inline distT="0" distB="0" distL="0" distR="0">
            <wp:extent cx="2324100" cy="3333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r w:rsidRPr="006E7E51">
        <w:rPr>
          <w:rFonts w:ascii="Calibri" w:hAnsi="Calibri" w:cs="Calibri"/>
          <w:sz w:val="24"/>
          <w:szCs w:val="24"/>
        </w:rPr>
        <w:instrText xml:space="preserve"> </w:instrText>
      </w:r>
      <w:r w:rsidRPr="006E7E51">
        <w:rPr>
          <w:rFonts w:ascii="Calibri" w:hAnsi="Calibri" w:cs="Calibri"/>
          <w:sz w:val="24"/>
          <w:szCs w:val="24"/>
        </w:rPr>
        <w:fldChar w:fldCharType="separate"/>
      </w:r>
      <w:r w:rsidR="00590334">
        <w:rPr>
          <w:noProof/>
        </w:rPr>
        <w:drawing>
          <wp:inline distT="0" distB="0" distL="0" distR="0">
            <wp:extent cx="2324100" cy="333375"/>
            <wp:effectExtent l="0" t="0" r="0"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r w:rsidRPr="006E7E51">
        <w:rPr>
          <w:rFonts w:ascii="Calibri" w:hAnsi="Calibri" w:cs="Calibri"/>
          <w:sz w:val="24"/>
          <w:szCs w:val="24"/>
        </w:rPr>
        <w:fldChar w:fldCharType="end"/>
      </w:r>
    </w:p>
    <w:p w:rsidR="007D4935" w:rsidRPr="006E0C4E" w:rsidRDefault="007D4935" w:rsidP="00165524">
      <w:pPr>
        <w:ind w:left="360"/>
        <w:rPr>
          <w:rFonts w:ascii="Calibri" w:hAnsi="Calibri" w:cs="Calibri"/>
          <w:sz w:val="24"/>
          <w:szCs w:val="24"/>
        </w:rPr>
      </w:pPr>
      <w:r w:rsidRPr="006E0C4E">
        <w:rPr>
          <w:rFonts w:ascii="Calibri" w:hAnsi="Calibri" w:cs="Calibri"/>
          <w:sz w:val="24"/>
          <w:szCs w:val="24"/>
        </w:rPr>
        <w:t xml:space="preserve">Bei Frauen: </w:t>
      </w:r>
      <w:r w:rsidRPr="006E0C4E">
        <w:rPr>
          <w:rFonts w:ascii="Calibri" w:hAnsi="Calibri" w:cs="Calibri"/>
          <w:sz w:val="24"/>
          <w:szCs w:val="24"/>
        </w:rPr>
        <w:tab/>
      </w:r>
      <w:r w:rsidRPr="006E7E51">
        <w:rPr>
          <w:rFonts w:ascii="Calibri" w:hAnsi="Calibri" w:cs="Calibri"/>
          <w:sz w:val="24"/>
          <w:szCs w:val="24"/>
        </w:rPr>
        <w:fldChar w:fldCharType="begin"/>
      </w:r>
      <w:r w:rsidRPr="006E7E51">
        <w:rPr>
          <w:rFonts w:ascii="Calibri" w:hAnsi="Calibri" w:cs="Calibri"/>
          <w:sz w:val="24"/>
          <w:szCs w:val="24"/>
        </w:rPr>
        <w:instrText xml:space="preserve"> QUOTE </w:instrText>
      </w:r>
      <w:r w:rsidR="00590334">
        <w:rPr>
          <w:noProof/>
        </w:rPr>
        <w:drawing>
          <wp:inline distT="0" distB="0" distL="0" distR="0">
            <wp:extent cx="2324100" cy="333375"/>
            <wp:effectExtent l="0" t="0" r="0"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r w:rsidRPr="006E7E51">
        <w:rPr>
          <w:rFonts w:ascii="Calibri" w:hAnsi="Calibri" w:cs="Calibri"/>
          <w:sz w:val="24"/>
          <w:szCs w:val="24"/>
        </w:rPr>
        <w:instrText xml:space="preserve"> </w:instrText>
      </w:r>
      <w:r w:rsidRPr="006E7E51">
        <w:rPr>
          <w:rFonts w:ascii="Calibri" w:hAnsi="Calibri" w:cs="Calibri"/>
          <w:sz w:val="24"/>
          <w:szCs w:val="24"/>
        </w:rPr>
        <w:fldChar w:fldCharType="separate"/>
      </w:r>
      <w:r w:rsidR="00590334">
        <w:rPr>
          <w:noProof/>
        </w:rPr>
        <w:drawing>
          <wp:inline distT="0" distB="0" distL="0" distR="0">
            <wp:extent cx="2324100" cy="333375"/>
            <wp:effectExtent l="0" t="0" r="0"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r w:rsidRPr="006E7E51">
        <w:rPr>
          <w:rFonts w:ascii="Calibri" w:hAnsi="Calibri" w:cs="Calibri"/>
          <w:sz w:val="24"/>
          <w:szCs w:val="24"/>
        </w:rPr>
        <w:fldChar w:fldCharType="end"/>
      </w:r>
      <w:r w:rsidRPr="006E0C4E">
        <w:rPr>
          <w:rFonts w:ascii="Calibri" w:hAnsi="Calibri" w:cs="Calibri"/>
          <w:sz w:val="24"/>
          <w:szCs w:val="24"/>
        </w:rPr>
        <w:br/>
      </w:r>
    </w:p>
    <w:p w:rsidR="007D4935" w:rsidRPr="006E0C4E" w:rsidRDefault="007D4935" w:rsidP="00165524">
      <w:pPr>
        <w:pStyle w:val="Listenabsatz"/>
        <w:numPr>
          <w:ilvl w:val="0"/>
          <w:numId w:val="26"/>
        </w:numPr>
        <w:spacing w:after="0" w:line="269" w:lineRule="auto"/>
        <w:ind w:left="720"/>
        <w:rPr>
          <w:rFonts w:ascii="Calibri" w:hAnsi="Calibri" w:cs="Calibri"/>
          <w:sz w:val="24"/>
          <w:szCs w:val="24"/>
        </w:rPr>
      </w:pPr>
      <w:r w:rsidRPr="006E0C4E">
        <w:rPr>
          <w:rFonts w:ascii="Calibri" w:hAnsi="Calibri" w:cs="Calibri"/>
          <w:sz w:val="24"/>
          <w:szCs w:val="24"/>
        </w:rPr>
        <w:t>Bei der gleichen getrunkenen Menge an Alkohol ist der Blutalkoholgehalt von Frauen etwa ein Fünftel höher als beim Mann. Der Grund hierfür sind der höhere Fettgehalt und der geringere Wasserverteilungsraum des weiblichen Körpers – bei gleicher Menge Alkohol haben sie deshalb mehr Promille.</w:t>
      </w:r>
    </w:p>
    <w:p w:rsidR="007D4935" w:rsidRPr="006E0C4E" w:rsidRDefault="007D4935" w:rsidP="00165524">
      <w:pPr>
        <w:pStyle w:val="Listenabsatz"/>
        <w:numPr>
          <w:ilvl w:val="0"/>
          <w:numId w:val="27"/>
        </w:numPr>
        <w:spacing w:after="0" w:line="269" w:lineRule="auto"/>
        <w:ind w:left="720"/>
        <w:rPr>
          <w:rFonts w:ascii="Calibri" w:hAnsi="Calibri" w:cs="Calibri"/>
          <w:sz w:val="24"/>
          <w:szCs w:val="24"/>
        </w:rPr>
      </w:pPr>
      <w:r w:rsidRPr="006E0C4E">
        <w:rPr>
          <w:rFonts w:ascii="Calibri" w:hAnsi="Calibri" w:cs="Calibri"/>
          <w:sz w:val="24"/>
          <w:szCs w:val="24"/>
        </w:rPr>
        <w:t>Anzuwenden ist diese Formel nur unter „normalen“ Umständen: Ist man erregt oder müde oder hat man seit Längerem nichts gegessen, tritt die Alkoholwirkung schneller ein.</w:t>
      </w:r>
    </w:p>
    <w:p w:rsidR="007D4935" w:rsidRPr="006E0C4E" w:rsidRDefault="007D4935" w:rsidP="00165524">
      <w:pPr>
        <w:rPr>
          <w:rFonts w:ascii="Calibri" w:hAnsi="Calibri" w:cs="Calibri"/>
          <w:sz w:val="24"/>
          <w:szCs w:val="24"/>
        </w:rPr>
      </w:pPr>
    </w:p>
    <w:p w:rsidR="007D4935" w:rsidRPr="006E0C4E" w:rsidRDefault="007D4935" w:rsidP="00165524">
      <w:pPr>
        <w:pStyle w:val="Listenabsatz"/>
        <w:numPr>
          <w:ilvl w:val="0"/>
          <w:numId w:val="31"/>
        </w:numPr>
        <w:spacing w:after="0" w:line="269" w:lineRule="auto"/>
        <w:rPr>
          <w:rFonts w:ascii="Calibri" w:hAnsi="Calibri" w:cs="Calibri"/>
          <w:sz w:val="24"/>
          <w:szCs w:val="24"/>
        </w:rPr>
      </w:pPr>
      <w:r w:rsidRPr="006E0C4E">
        <w:rPr>
          <w:rFonts w:ascii="Calibri" w:hAnsi="Calibri" w:cs="Calibri"/>
          <w:sz w:val="24"/>
          <w:szCs w:val="24"/>
        </w:rPr>
        <w:t xml:space="preserve">Ab ca. 0,2 Promille verändern sich subjektives Erleben und persönliches Verhalten. Man fühlt sich zwangloser und freier. Der Widerstand gegen weiteren Alkoholkonsum kann sinken. Sehfähigkeit, Konzentrationsvermögen und Bewegungskoordination lassen bereits nach. </w:t>
      </w:r>
    </w:p>
    <w:p w:rsidR="007D4935" w:rsidRPr="006E0C4E" w:rsidRDefault="007D4935" w:rsidP="00165524">
      <w:pPr>
        <w:pStyle w:val="Listenabsatz"/>
        <w:numPr>
          <w:ilvl w:val="0"/>
          <w:numId w:val="31"/>
        </w:numPr>
        <w:spacing w:after="0" w:line="269" w:lineRule="auto"/>
        <w:rPr>
          <w:rFonts w:ascii="Calibri" w:hAnsi="Calibri" w:cs="Calibri"/>
          <w:sz w:val="24"/>
          <w:szCs w:val="24"/>
        </w:rPr>
      </w:pPr>
      <w:r w:rsidRPr="006E0C4E">
        <w:rPr>
          <w:rFonts w:ascii="Calibri" w:hAnsi="Calibri" w:cs="Calibri"/>
          <w:sz w:val="24"/>
          <w:szCs w:val="24"/>
        </w:rPr>
        <w:t xml:space="preserve">Nähert man sich einem Promille Blutalkoholkonzentration, beginnt das Rauschstadium mit läppisch-heiterer oder depressiver Stimmung. Es kommt zu Gleichgewichts- und Sprachstörungen (Torkeln, Lallen). </w:t>
      </w:r>
    </w:p>
    <w:p w:rsidR="007D4935" w:rsidRPr="006E0C4E" w:rsidRDefault="007D4935" w:rsidP="00165524">
      <w:pPr>
        <w:pStyle w:val="Listenabsatz"/>
        <w:numPr>
          <w:ilvl w:val="0"/>
          <w:numId w:val="31"/>
        </w:numPr>
        <w:spacing w:after="0" w:line="269" w:lineRule="auto"/>
        <w:rPr>
          <w:rFonts w:ascii="Calibri" w:hAnsi="Calibri" w:cs="Calibri"/>
          <w:sz w:val="24"/>
          <w:szCs w:val="24"/>
        </w:rPr>
      </w:pPr>
      <w:r w:rsidRPr="006E0C4E">
        <w:rPr>
          <w:rFonts w:ascii="Calibri" w:hAnsi="Calibri" w:cs="Calibri"/>
          <w:sz w:val="24"/>
          <w:szCs w:val="24"/>
        </w:rPr>
        <w:t xml:space="preserve">Bei ca. zwei Promille wird das Betäubungsstadium erreicht. Störungen des Gedächtnisses und der Orientierung treten auf. </w:t>
      </w:r>
    </w:p>
    <w:p w:rsidR="007D4935" w:rsidRPr="006E0C4E" w:rsidRDefault="007D4935" w:rsidP="00165524">
      <w:pPr>
        <w:ind w:left="284"/>
        <w:rPr>
          <w:rFonts w:ascii="Calibri" w:hAnsi="Calibri" w:cs="Calibri"/>
          <w:sz w:val="24"/>
          <w:szCs w:val="24"/>
        </w:rPr>
      </w:pPr>
    </w:p>
    <w:p w:rsidR="007D4935" w:rsidRPr="006E0C4E" w:rsidRDefault="007D4935" w:rsidP="006E0C4E">
      <w:pPr>
        <w:pStyle w:val="Listenabsatz"/>
        <w:numPr>
          <w:ilvl w:val="0"/>
          <w:numId w:val="26"/>
        </w:numPr>
        <w:spacing w:after="0" w:line="269" w:lineRule="auto"/>
        <w:ind w:left="714" w:hanging="357"/>
        <w:rPr>
          <w:rFonts w:ascii="Calibri" w:hAnsi="Calibri" w:cs="Calibri"/>
          <w:sz w:val="24"/>
          <w:szCs w:val="24"/>
        </w:rPr>
      </w:pPr>
      <w:r w:rsidRPr="006E0C4E">
        <w:rPr>
          <w:rFonts w:ascii="Calibri" w:hAnsi="Calibri" w:cs="Calibri"/>
          <w:sz w:val="24"/>
          <w:szCs w:val="24"/>
        </w:rPr>
        <w:t xml:space="preserve">Der getrunkene Alkohol wird von der Leber in mehreren Stufen zu Wasser und Kohlendioxid abgebaut. Der Alkoholgehalt des Blutes sinkt dabei bei Männern durchschnittlich um 0,15 Promille pro Stunde. Bei Frauen beträgt dieser Wert 0,13 </w:t>
      </w:r>
      <w:r w:rsidRPr="006E0C4E">
        <w:rPr>
          <w:rFonts w:ascii="Calibri" w:hAnsi="Calibri" w:cs="Calibri"/>
          <w:sz w:val="24"/>
          <w:szCs w:val="24"/>
        </w:rPr>
        <w:lastRenderedPageBreak/>
        <w:t xml:space="preserve">Promille. Bis eine Blutalkoholkonzentration von 0,5 Promille abgebaut ist, dauert es demnach etwa drei bis vier Stunden. </w:t>
      </w:r>
    </w:p>
    <w:p w:rsidR="007D4935" w:rsidRPr="006E0C4E" w:rsidRDefault="007D4935" w:rsidP="00165524">
      <w:pPr>
        <w:pStyle w:val="Listenabsatz"/>
        <w:widowControl w:val="0"/>
        <w:numPr>
          <w:ilvl w:val="0"/>
          <w:numId w:val="30"/>
        </w:numPr>
        <w:autoSpaceDE w:val="0"/>
        <w:autoSpaceDN w:val="0"/>
        <w:adjustRightInd w:val="0"/>
        <w:spacing w:after="0" w:line="269" w:lineRule="auto"/>
        <w:rPr>
          <w:rFonts w:ascii="Calibri" w:hAnsi="Calibri" w:cs="Calibri"/>
          <w:sz w:val="24"/>
          <w:szCs w:val="24"/>
        </w:rPr>
      </w:pPr>
      <w:r w:rsidRPr="006E0C4E">
        <w:rPr>
          <w:rFonts w:ascii="Calibri" w:hAnsi="Calibri" w:cs="Calibri"/>
          <w:sz w:val="24"/>
          <w:szCs w:val="24"/>
        </w:rPr>
        <w:t xml:space="preserve">Weitere Einflussfaktoren auf die Wirkung von Alkohol: </w:t>
      </w:r>
    </w:p>
    <w:p w:rsidR="007D4935" w:rsidRPr="006E0C4E" w:rsidRDefault="007D4935" w:rsidP="00165524">
      <w:pPr>
        <w:pStyle w:val="Listenabsatz"/>
        <w:widowControl w:val="0"/>
        <w:numPr>
          <w:ilvl w:val="0"/>
          <w:numId w:val="35"/>
        </w:numPr>
        <w:autoSpaceDE w:val="0"/>
        <w:autoSpaceDN w:val="0"/>
        <w:adjustRightInd w:val="0"/>
        <w:spacing w:after="0" w:line="269" w:lineRule="auto"/>
        <w:rPr>
          <w:rFonts w:ascii="Calibri" w:hAnsi="Calibri" w:cs="Calibri"/>
          <w:sz w:val="24"/>
          <w:szCs w:val="24"/>
        </w:rPr>
      </w:pPr>
      <w:r w:rsidRPr="006E0C4E">
        <w:rPr>
          <w:rFonts w:ascii="Calibri" w:hAnsi="Calibri" w:cs="Calibri"/>
          <w:sz w:val="24"/>
          <w:szCs w:val="24"/>
        </w:rPr>
        <w:t>Alkoholverträglichkeit: Jemand, der häufig viel trinkt (z.B. auf Partys bis zu 1,5 Promille), merkt die Wirkung von einer deutlich geringeren Blutalkoholkonzentration (z.B. 0,6 Promille) kaum.</w:t>
      </w:r>
    </w:p>
    <w:p w:rsidR="007D4935" w:rsidRPr="006E0C4E" w:rsidRDefault="007D4935" w:rsidP="00165524">
      <w:pPr>
        <w:pStyle w:val="Listenabsatz"/>
        <w:widowControl w:val="0"/>
        <w:numPr>
          <w:ilvl w:val="0"/>
          <w:numId w:val="35"/>
        </w:numPr>
        <w:autoSpaceDE w:val="0"/>
        <w:autoSpaceDN w:val="0"/>
        <w:adjustRightInd w:val="0"/>
        <w:spacing w:after="0" w:line="269" w:lineRule="auto"/>
        <w:rPr>
          <w:rFonts w:ascii="Calibri" w:hAnsi="Calibri" w:cs="Calibri"/>
          <w:sz w:val="24"/>
          <w:szCs w:val="24"/>
        </w:rPr>
      </w:pPr>
      <w:r w:rsidRPr="006E0C4E">
        <w:rPr>
          <w:rFonts w:ascii="Calibri" w:hAnsi="Calibri" w:cs="Calibri"/>
          <w:sz w:val="24"/>
          <w:szCs w:val="24"/>
        </w:rPr>
        <w:t xml:space="preserve">Gemütszustand: Wenn man gut drauf ist, fühlt man sich bei gleicher Blutalkoholkonzentration (BAK) unter Umständen weniger stark betrunken, als wenn man schlecht drauf ist. </w:t>
      </w:r>
    </w:p>
    <w:p w:rsidR="007D4935" w:rsidRPr="006E0C4E" w:rsidRDefault="007D4935" w:rsidP="00165524">
      <w:pPr>
        <w:pStyle w:val="Listenabsatz"/>
        <w:widowControl w:val="0"/>
        <w:numPr>
          <w:ilvl w:val="0"/>
          <w:numId w:val="35"/>
        </w:numPr>
        <w:autoSpaceDE w:val="0"/>
        <w:autoSpaceDN w:val="0"/>
        <w:adjustRightInd w:val="0"/>
        <w:spacing w:after="0" w:line="269" w:lineRule="auto"/>
        <w:rPr>
          <w:rFonts w:ascii="Calibri" w:hAnsi="Calibri" w:cs="Calibri"/>
          <w:sz w:val="24"/>
          <w:szCs w:val="24"/>
        </w:rPr>
      </w:pPr>
      <w:r w:rsidRPr="006E0C4E">
        <w:rPr>
          <w:rFonts w:ascii="Calibri" w:hAnsi="Calibri" w:cs="Calibri"/>
          <w:sz w:val="24"/>
          <w:szCs w:val="24"/>
        </w:rPr>
        <w:t>Körperliche Verfassung: Während einer Erkältung oder nach einer sportlichen Betätigung, wenn man ausgelaugt ist, scheint der Alkohol mehr zu wirken, als wenn man fit wäre.</w:t>
      </w:r>
      <w:r>
        <w:rPr>
          <w:rFonts w:ascii="Calibri" w:hAnsi="Calibri" w:cs="Calibri"/>
          <w:sz w:val="24"/>
          <w:szCs w:val="24"/>
        </w:rPr>
        <w:t xml:space="preserve"> </w:t>
      </w:r>
    </w:p>
    <w:p w:rsidR="007D4935" w:rsidRPr="006E0C4E" w:rsidRDefault="007D4935" w:rsidP="00165524">
      <w:pPr>
        <w:pStyle w:val="Listenabsatz"/>
        <w:widowControl w:val="0"/>
        <w:numPr>
          <w:ilvl w:val="0"/>
          <w:numId w:val="35"/>
        </w:numPr>
        <w:autoSpaceDE w:val="0"/>
        <w:autoSpaceDN w:val="0"/>
        <w:adjustRightInd w:val="0"/>
        <w:spacing w:after="0" w:line="269" w:lineRule="auto"/>
        <w:rPr>
          <w:rFonts w:ascii="Calibri" w:hAnsi="Calibri" w:cs="Calibri"/>
          <w:sz w:val="24"/>
          <w:szCs w:val="24"/>
        </w:rPr>
      </w:pPr>
      <w:r w:rsidRPr="006E0C4E">
        <w:rPr>
          <w:rFonts w:ascii="Calibri" w:hAnsi="Calibri" w:cs="Calibri"/>
          <w:sz w:val="24"/>
          <w:szCs w:val="24"/>
        </w:rPr>
        <w:t>Medikament und/oder Drogen: Alkohol und Medikamente beeinflussen sich gegenseitig in ihrer Wirkung. Die Alkoholwirkung kann sich verstärken.</w:t>
      </w:r>
    </w:p>
    <w:p w:rsidR="007D4935" w:rsidRPr="006E0C4E" w:rsidRDefault="007D4935" w:rsidP="00165524">
      <w:pPr>
        <w:pStyle w:val="Listenabsatz"/>
        <w:widowControl w:val="0"/>
        <w:numPr>
          <w:ilvl w:val="0"/>
          <w:numId w:val="35"/>
        </w:numPr>
        <w:autoSpaceDE w:val="0"/>
        <w:autoSpaceDN w:val="0"/>
        <w:adjustRightInd w:val="0"/>
        <w:spacing w:after="0" w:line="269" w:lineRule="auto"/>
        <w:rPr>
          <w:rFonts w:ascii="Calibri" w:hAnsi="Calibri" w:cs="Calibri"/>
          <w:sz w:val="24"/>
          <w:szCs w:val="24"/>
        </w:rPr>
      </w:pPr>
      <w:r w:rsidRPr="006E0C4E">
        <w:rPr>
          <w:rFonts w:ascii="Calibri" w:hAnsi="Calibri" w:cs="Calibri"/>
          <w:sz w:val="24"/>
          <w:szCs w:val="24"/>
        </w:rPr>
        <w:t xml:space="preserve">Essen: Mit leerem Magen geht der Alkohol schneller ins Blut, sodass man sich schneller betrunken fühlt. </w:t>
      </w:r>
    </w:p>
    <w:p w:rsidR="007D4935" w:rsidRPr="006E0C4E" w:rsidRDefault="007D4935" w:rsidP="00165524">
      <w:pPr>
        <w:pStyle w:val="Listenabsatz"/>
        <w:widowControl w:val="0"/>
        <w:numPr>
          <w:ilvl w:val="0"/>
          <w:numId w:val="35"/>
        </w:numPr>
        <w:autoSpaceDE w:val="0"/>
        <w:autoSpaceDN w:val="0"/>
        <w:adjustRightInd w:val="0"/>
        <w:spacing w:after="0" w:line="269" w:lineRule="auto"/>
        <w:rPr>
          <w:rFonts w:ascii="Calibri" w:hAnsi="Calibri" w:cs="Calibri"/>
          <w:sz w:val="24"/>
          <w:szCs w:val="24"/>
        </w:rPr>
      </w:pPr>
      <w:r w:rsidRPr="006E0C4E">
        <w:rPr>
          <w:rFonts w:ascii="Calibri" w:hAnsi="Calibri" w:cs="Calibri"/>
          <w:sz w:val="24"/>
          <w:szCs w:val="24"/>
        </w:rPr>
        <w:t>Koffeinhaltige Mixgetränke: Koffein vermittelt das Gefühl, nicht so viel getrunken zu haben.</w:t>
      </w:r>
    </w:p>
    <w:p w:rsidR="007D4935" w:rsidRPr="006E0C4E" w:rsidRDefault="007D4935" w:rsidP="00165524">
      <w:pPr>
        <w:rPr>
          <w:rFonts w:ascii="Calibri" w:hAnsi="Calibri" w:cs="Calibri"/>
          <w:sz w:val="24"/>
          <w:szCs w:val="24"/>
        </w:rPr>
      </w:pPr>
    </w:p>
    <w:p w:rsidR="007D4935" w:rsidRPr="006E0C4E" w:rsidRDefault="007D4935" w:rsidP="00165524">
      <w:pPr>
        <w:pStyle w:val="Listenabsatz"/>
        <w:numPr>
          <w:ilvl w:val="0"/>
          <w:numId w:val="36"/>
        </w:numPr>
        <w:spacing w:after="0" w:line="269" w:lineRule="auto"/>
        <w:rPr>
          <w:rFonts w:ascii="Calibri" w:hAnsi="Calibri" w:cs="Calibri"/>
          <w:sz w:val="24"/>
          <w:szCs w:val="24"/>
        </w:rPr>
      </w:pPr>
      <w:r w:rsidRPr="006E0C4E">
        <w:rPr>
          <w:rFonts w:ascii="Calibri" w:hAnsi="Calibri" w:cs="Calibri"/>
          <w:b/>
          <w:bCs/>
          <w:sz w:val="24"/>
          <w:szCs w:val="24"/>
        </w:rPr>
        <w:t>Alkohol im Straßenverkehr</w:t>
      </w:r>
      <w:r w:rsidRPr="006E0C4E">
        <w:rPr>
          <w:rStyle w:val="Funotenzeichen"/>
          <w:rFonts w:ascii="Calibri" w:hAnsi="Calibri" w:cs="Calibri"/>
          <w:b/>
          <w:bCs/>
          <w:sz w:val="24"/>
          <w:szCs w:val="24"/>
        </w:rPr>
        <w:footnoteReference w:id="7"/>
      </w:r>
      <w:r w:rsidRPr="006E0C4E">
        <w:rPr>
          <w:rFonts w:ascii="Calibri" w:hAnsi="Calibri" w:cs="Calibri"/>
          <w:b/>
          <w:bCs/>
          <w:sz w:val="24"/>
          <w:szCs w:val="24"/>
        </w:rPr>
        <w:br/>
      </w:r>
      <w:r w:rsidRPr="006E0C4E">
        <w:rPr>
          <w:rFonts w:ascii="Calibri" w:hAnsi="Calibri" w:cs="Calibri"/>
          <w:sz w:val="24"/>
          <w:szCs w:val="24"/>
        </w:rPr>
        <w:t>Für Fahrerinnen und Fahrer unter 21 Jahren oder für diejenigen, die noch in der Probezeit sind, gilt ein absolutes Alkoholverbot. Verstöße bis 0,5 Promille werden mit 250 Euro und einem Punkt bestraft. Zudem muss ein „besonderes Aufbauseminar“ besucht werden und die Probezeit wird verlängert. (§ 24c Abs. 1 StVG)</w:t>
      </w:r>
    </w:p>
    <w:p w:rsidR="007D4935" w:rsidRPr="006E0C4E" w:rsidRDefault="007D4935" w:rsidP="00165524">
      <w:pPr>
        <w:rPr>
          <w:rFonts w:ascii="Calibri" w:hAnsi="Calibri" w:cs="Calibri"/>
          <w:sz w:val="24"/>
          <w:szCs w:val="24"/>
        </w:rPr>
      </w:pPr>
    </w:p>
    <w:p w:rsidR="007D4935" w:rsidRPr="006E0C4E" w:rsidRDefault="007D4935" w:rsidP="00165524">
      <w:pPr>
        <w:pStyle w:val="Listenabsatz"/>
        <w:numPr>
          <w:ilvl w:val="0"/>
          <w:numId w:val="33"/>
        </w:numPr>
        <w:spacing w:after="0" w:line="269" w:lineRule="auto"/>
        <w:rPr>
          <w:rFonts w:ascii="Calibri" w:hAnsi="Calibri" w:cs="Calibri"/>
          <w:sz w:val="24"/>
          <w:szCs w:val="24"/>
        </w:rPr>
      </w:pPr>
      <w:r w:rsidRPr="006E0C4E">
        <w:rPr>
          <w:rFonts w:ascii="Calibri" w:hAnsi="Calibri" w:cs="Calibri"/>
          <w:sz w:val="24"/>
          <w:szCs w:val="24"/>
        </w:rPr>
        <w:t>Beim begleiteten Fahren ab 17 Jahren müssen die Eltern auch als Begleitpersonen die 0,5-Promillegrenze einhalten und dürfen nicht unter Einfluss von anderen Rauschmitteln stehen.</w:t>
      </w:r>
    </w:p>
    <w:p w:rsidR="007D4935" w:rsidRPr="006E0C4E" w:rsidRDefault="007D4935" w:rsidP="00165524">
      <w:pPr>
        <w:rPr>
          <w:rFonts w:ascii="Calibri" w:hAnsi="Calibri" w:cs="Calibri"/>
          <w:sz w:val="24"/>
          <w:szCs w:val="24"/>
        </w:rPr>
      </w:pPr>
    </w:p>
    <w:p w:rsidR="007D4935" w:rsidRPr="006E0C4E" w:rsidRDefault="007D4935" w:rsidP="00165524">
      <w:pPr>
        <w:pStyle w:val="Listenabsatz"/>
        <w:numPr>
          <w:ilvl w:val="0"/>
          <w:numId w:val="24"/>
        </w:numPr>
        <w:spacing w:after="0" w:line="269" w:lineRule="auto"/>
        <w:rPr>
          <w:rFonts w:ascii="Calibri" w:hAnsi="Calibri" w:cs="Calibri"/>
          <w:sz w:val="24"/>
          <w:szCs w:val="24"/>
        </w:rPr>
      </w:pPr>
      <w:r w:rsidRPr="006E0C4E">
        <w:rPr>
          <w:rFonts w:ascii="Calibri" w:hAnsi="Calibri" w:cs="Calibri"/>
          <w:sz w:val="24"/>
          <w:szCs w:val="24"/>
        </w:rPr>
        <w:t>Für Fahrerinnen und Fahrer außerhalb der Probezeit gilt die 0,3-Promille-Grenze als „relative Fahruntüchtigkeit“. Bei auffälliger Fahrweise oder einem Unfall liegt eine Straftat vor, die zu Führerscheinentzug, Geldstrafe und Punkten führt.</w:t>
      </w:r>
      <w:r>
        <w:rPr>
          <w:rFonts w:ascii="Calibri" w:hAnsi="Calibri" w:cs="Calibri"/>
          <w:sz w:val="24"/>
          <w:szCs w:val="24"/>
        </w:rPr>
        <w:t xml:space="preserve"> </w:t>
      </w:r>
    </w:p>
    <w:p w:rsidR="007D4935" w:rsidRPr="006E0C4E" w:rsidRDefault="007D4935" w:rsidP="00165524">
      <w:pPr>
        <w:pStyle w:val="Listenabsatz"/>
        <w:numPr>
          <w:ilvl w:val="0"/>
          <w:numId w:val="24"/>
        </w:numPr>
        <w:spacing w:after="0" w:line="269" w:lineRule="auto"/>
        <w:rPr>
          <w:rFonts w:ascii="Calibri" w:hAnsi="Calibri" w:cs="Calibri"/>
          <w:sz w:val="24"/>
          <w:szCs w:val="24"/>
        </w:rPr>
      </w:pPr>
      <w:r w:rsidRPr="006E0C4E">
        <w:rPr>
          <w:rFonts w:ascii="Calibri" w:hAnsi="Calibri" w:cs="Calibri"/>
          <w:sz w:val="24"/>
          <w:szCs w:val="24"/>
        </w:rPr>
        <w:t>Ab einem Blutalkohol von 0,5 Promille ist das Autofahren seit dem 1. April 2001 eine Ordnungswidrigkeit (wenn keine Anzeichen von Fahrunsicherheit vorliegen). Diese wird mit mindestens 500 € Geldbuße und 2 Punkten im Flensburger Fahreignungsregister und einem mindestens einmonatigen Fahrverbot bestraft.</w:t>
      </w:r>
    </w:p>
    <w:p w:rsidR="007D4935" w:rsidRPr="006E0C4E" w:rsidRDefault="007D4935" w:rsidP="00165524">
      <w:pPr>
        <w:pStyle w:val="Listenabsatz"/>
        <w:numPr>
          <w:ilvl w:val="0"/>
          <w:numId w:val="24"/>
        </w:numPr>
        <w:spacing w:after="0" w:line="269" w:lineRule="auto"/>
        <w:rPr>
          <w:rFonts w:ascii="Calibri" w:hAnsi="Calibri" w:cs="Calibri"/>
          <w:sz w:val="24"/>
          <w:szCs w:val="24"/>
        </w:rPr>
      </w:pPr>
      <w:r w:rsidRPr="006E0C4E">
        <w:rPr>
          <w:rFonts w:ascii="Calibri" w:hAnsi="Calibri" w:cs="Calibri"/>
          <w:sz w:val="24"/>
          <w:szCs w:val="24"/>
        </w:rPr>
        <w:t>Ab 1,1 Promille handelt es sich um die „absolute Fahruntüchtigkeit“ und man begeht eine Straftat, die mit Führerscheinentzug und Geldstrafe geahndet wird.</w:t>
      </w:r>
    </w:p>
    <w:p w:rsidR="007D4935" w:rsidRDefault="007D4935" w:rsidP="00165524">
      <w:pPr>
        <w:pStyle w:val="Listenabsatz"/>
        <w:widowControl w:val="0"/>
        <w:numPr>
          <w:ilvl w:val="0"/>
          <w:numId w:val="32"/>
        </w:numPr>
        <w:autoSpaceDE w:val="0"/>
        <w:autoSpaceDN w:val="0"/>
        <w:adjustRightInd w:val="0"/>
        <w:spacing w:after="0" w:line="269" w:lineRule="auto"/>
        <w:rPr>
          <w:rFonts w:ascii="Calibri" w:hAnsi="Calibri" w:cs="Calibri"/>
          <w:sz w:val="24"/>
          <w:szCs w:val="24"/>
        </w:rPr>
      </w:pPr>
      <w:r w:rsidRPr="006E0C4E">
        <w:rPr>
          <w:rFonts w:ascii="Calibri" w:hAnsi="Calibri" w:cs="Calibri"/>
          <w:sz w:val="24"/>
          <w:szCs w:val="24"/>
        </w:rPr>
        <w:lastRenderedPageBreak/>
        <w:t>Ab 1,6 Promille kommt es zusätzlich zu den zuvor genannten Maßnahmen zu einer medizinisch-psychologischen Untersuchung (MPU).</w:t>
      </w:r>
    </w:p>
    <w:p w:rsidR="007D4935" w:rsidRPr="006E0C4E" w:rsidRDefault="007D4935" w:rsidP="00590334">
      <w:pPr>
        <w:pStyle w:val="Listenabsatz"/>
        <w:widowControl w:val="0"/>
        <w:autoSpaceDE w:val="0"/>
        <w:autoSpaceDN w:val="0"/>
        <w:adjustRightInd w:val="0"/>
        <w:spacing w:after="0" w:line="269" w:lineRule="auto"/>
        <w:rPr>
          <w:rFonts w:ascii="Calibri" w:hAnsi="Calibri" w:cs="Calibri"/>
          <w:sz w:val="24"/>
          <w:szCs w:val="24"/>
        </w:rPr>
      </w:pPr>
    </w:p>
    <w:p w:rsidR="007D4935" w:rsidRPr="006E0C4E" w:rsidRDefault="007D4935" w:rsidP="00165524">
      <w:pPr>
        <w:pStyle w:val="Listenabsatz"/>
        <w:numPr>
          <w:ilvl w:val="0"/>
          <w:numId w:val="36"/>
        </w:numPr>
        <w:spacing w:after="0" w:line="269" w:lineRule="auto"/>
        <w:rPr>
          <w:rFonts w:ascii="Calibri" w:hAnsi="Calibri" w:cs="Calibri"/>
          <w:sz w:val="24"/>
          <w:szCs w:val="24"/>
        </w:rPr>
      </w:pPr>
      <w:r w:rsidRPr="006E0C4E">
        <w:rPr>
          <w:rFonts w:ascii="Calibri" w:hAnsi="Calibri" w:cs="Calibri"/>
          <w:b/>
          <w:bCs/>
          <w:sz w:val="24"/>
          <w:szCs w:val="24"/>
        </w:rPr>
        <w:t xml:space="preserve">Radfahrer und Alkoholkonsum </w:t>
      </w:r>
      <w:r w:rsidRPr="006E0C4E">
        <w:rPr>
          <w:rFonts w:ascii="Calibri" w:hAnsi="Calibri" w:cs="Calibri"/>
          <w:b/>
          <w:bCs/>
          <w:sz w:val="24"/>
          <w:szCs w:val="24"/>
        </w:rPr>
        <w:br/>
      </w:r>
      <w:r w:rsidRPr="006E0C4E">
        <w:rPr>
          <w:rFonts w:ascii="Calibri" w:hAnsi="Calibri" w:cs="Calibri"/>
          <w:sz w:val="24"/>
          <w:szCs w:val="24"/>
        </w:rPr>
        <w:t>Eine alkoholisierte Verkehrsteilnahme mit dem Fahrrad ist – zumindest für andere Verkehrsteilnehmer – nicht in jedem Fall so gefährlich wie eine alkoholisierte Verkehrsteilnahme mit dem PKW. Nach § 316 Strafgesetzbuch (StGB) wird bestraft, wer infolge des Genusses alkoholischer Getränke oder anderer berauschender Mittel nicht in der Lage ist, ein Fahrzeug sicher im Verkehr zu führen. Das gilt nicht nur für Kraftfahrzeuge – auch das Fahrrad ist ein Fahrzeug. Der Gesetzgeber hat keinen Promillewert für die Fahruntüchtigkeit festgelegt. Deshalb gelten die Werte, die in der Rechtsprechung festgelegt werden. Die Bewertung durch die Rechtsprechung fällt für Kraftfahrer und Radfahrer unterschiedlich aus.</w:t>
      </w:r>
      <w:r w:rsidRPr="006E0C4E">
        <w:rPr>
          <w:rStyle w:val="Funotenzeichen"/>
          <w:rFonts w:ascii="Calibri" w:hAnsi="Calibri" w:cs="Calibri"/>
          <w:sz w:val="24"/>
          <w:szCs w:val="24"/>
        </w:rPr>
        <w:footnoteReference w:id="8"/>
      </w:r>
    </w:p>
    <w:p w:rsidR="007D4935" w:rsidRPr="006E0C4E" w:rsidRDefault="007D4935" w:rsidP="00590334">
      <w:pPr>
        <w:pStyle w:val="Listenabsatz"/>
        <w:numPr>
          <w:ilvl w:val="0"/>
          <w:numId w:val="28"/>
        </w:numPr>
        <w:spacing w:after="0" w:line="269" w:lineRule="auto"/>
        <w:rPr>
          <w:rFonts w:ascii="Calibri" w:hAnsi="Calibri" w:cs="Calibri"/>
          <w:sz w:val="24"/>
          <w:szCs w:val="24"/>
        </w:rPr>
      </w:pPr>
      <w:r w:rsidRPr="006E0C4E">
        <w:rPr>
          <w:rFonts w:ascii="Calibri" w:hAnsi="Calibri" w:cs="Calibri"/>
          <w:sz w:val="24"/>
          <w:szCs w:val="24"/>
        </w:rPr>
        <w:t>Die Rechtsprechung geht derzeit davon aus, dass eine „absolute Fahruntüchtigkeit“ beim Führen eines Kraftfahrzeugs bereits ab 1,1 Promille und bei Radfahrern ab 1,6 Promille vorliegt. Eine Strafbarkeit kann auch mit geringeren Promillezahlen (ab 0,3 Promille) vorliegen, wenn der Betreffende durch weitere Beweisanzeichen (z.B. Fahrfehler) zeigt, dass er fahruntüchtig ist.</w:t>
      </w:r>
      <w:r w:rsidRPr="006E0C4E">
        <w:rPr>
          <w:rStyle w:val="Funotenzeichen"/>
          <w:rFonts w:ascii="Calibri" w:hAnsi="Calibri" w:cs="Calibri"/>
          <w:sz w:val="24"/>
          <w:szCs w:val="24"/>
        </w:rPr>
        <w:footnoteReference w:id="9"/>
      </w:r>
    </w:p>
    <w:p w:rsidR="007D4935" w:rsidRPr="006E0C4E" w:rsidRDefault="007D4935" w:rsidP="00165524">
      <w:pPr>
        <w:tabs>
          <w:tab w:val="left" w:pos="709"/>
        </w:tabs>
        <w:rPr>
          <w:rFonts w:ascii="Calibri" w:hAnsi="Calibri" w:cs="Calibri"/>
          <w:sz w:val="24"/>
          <w:szCs w:val="24"/>
        </w:rPr>
      </w:pPr>
    </w:p>
    <w:p w:rsidR="007D4935" w:rsidRPr="006E0C4E" w:rsidRDefault="007D4935" w:rsidP="00165524">
      <w:pPr>
        <w:pStyle w:val="Listenabsatz"/>
        <w:numPr>
          <w:ilvl w:val="0"/>
          <w:numId w:val="36"/>
        </w:numPr>
        <w:tabs>
          <w:tab w:val="left" w:pos="709"/>
        </w:tabs>
        <w:spacing w:after="0" w:line="269" w:lineRule="auto"/>
        <w:rPr>
          <w:rFonts w:ascii="Calibri" w:hAnsi="Calibri" w:cs="Calibri"/>
          <w:b/>
          <w:bCs/>
          <w:sz w:val="24"/>
          <w:szCs w:val="24"/>
        </w:rPr>
      </w:pPr>
      <w:r w:rsidRPr="006E0C4E">
        <w:rPr>
          <w:rFonts w:ascii="Calibri" w:hAnsi="Calibri" w:cs="Calibri"/>
          <w:b/>
          <w:bCs/>
          <w:sz w:val="24"/>
          <w:szCs w:val="24"/>
        </w:rPr>
        <w:t>Drogen im Straßenverkehr</w:t>
      </w:r>
    </w:p>
    <w:p w:rsidR="007D4935" w:rsidRPr="006E0C4E" w:rsidRDefault="007D4935" w:rsidP="00165524">
      <w:pPr>
        <w:tabs>
          <w:tab w:val="left" w:pos="709"/>
        </w:tabs>
        <w:rPr>
          <w:rFonts w:ascii="Calibri" w:hAnsi="Calibri" w:cs="Calibri"/>
          <w:sz w:val="24"/>
          <w:szCs w:val="24"/>
        </w:rPr>
      </w:pPr>
      <w:r w:rsidRPr="006E0C4E">
        <w:rPr>
          <w:rFonts w:ascii="Calibri" w:hAnsi="Calibri" w:cs="Calibri"/>
          <w:sz w:val="24"/>
          <w:szCs w:val="24"/>
        </w:rPr>
        <w:t>Nach dem Straßenverkehrsgesetz begeht jemand eine Ordnungswidrigkeit, der unter dem Einfluss von Drogen (Anlage zu § 24a StVG) ein Kraftfahrzeug führt.</w:t>
      </w:r>
      <w:r w:rsidRPr="006E0C4E">
        <w:rPr>
          <w:rStyle w:val="Funotenzeichen"/>
          <w:rFonts w:ascii="Calibri" w:hAnsi="Calibri" w:cs="Calibri"/>
          <w:sz w:val="24"/>
          <w:szCs w:val="24"/>
        </w:rPr>
        <w:footnoteReference w:id="10"/>
      </w:r>
    </w:p>
    <w:p w:rsidR="007D4935" w:rsidRPr="006E0C4E" w:rsidRDefault="007D4935" w:rsidP="00165524">
      <w:pPr>
        <w:pStyle w:val="Listenabsatz"/>
        <w:numPr>
          <w:ilvl w:val="0"/>
          <w:numId w:val="25"/>
        </w:numPr>
        <w:spacing w:after="0" w:line="269" w:lineRule="auto"/>
        <w:rPr>
          <w:rFonts w:ascii="Calibri" w:hAnsi="Calibri" w:cs="Calibri"/>
          <w:sz w:val="24"/>
          <w:szCs w:val="24"/>
        </w:rPr>
      </w:pPr>
      <w:r w:rsidRPr="006E0C4E">
        <w:rPr>
          <w:rFonts w:ascii="Calibri" w:hAnsi="Calibri" w:cs="Calibri"/>
          <w:sz w:val="24"/>
          <w:szCs w:val="24"/>
        </w:rPr>
        <w:t>Anders als bei Alkoholunfällen gibt es bei den Unfällen unter dem Einfluss sonstiger berauschender Mittel keine genauen Grenzwerte. Hier genügt allein der Nachweis von „Drogen“ in Urin oder Blut. Bei positiven Testergebnissen kann es zu hohen Strafen kommen.</w:t>
      </w:r>
    </w:p>
    <w:p w:rsidR="007D4935" w:rsidRPr="006E0C4E" w:rsidRDefault="007D4935" w:rsidP="00165524">
      <w:pPr>
        <w:rPr>
          <w:rFonts w:ascii="Calibri" w:hAnsi="Calibri" w:cs="Calibri"/>
          <w:sz w:val="24"/>
          <w:szCs w:val="24"/>
        </w:rPr>
      </w:pPr>
    </w:p>
    <w:p w:rsidR="007D4935" w:rsidRPr="006E0C4E" w:rsidRDefault="007D4935" w:rsidP="00165524">
      <w:pPr>
        <w:pStyle w:val="Listenabsatz"/>
        <w:numPr>
          <w:ilvl w:val="0"/>
          <w:numId w:val="34"/>
        </w:numPr>
        <w:spacing w:after="0" w:line="269" w:lineRule="auto"/>
        <w:rPr>
          <w:rFonts w:ascii="Calibri" w:hAnsi="Calibri" w:cs="Calibri"/>
          <w:sz w:val="24"/>
          <w:szCs w:val="24"/>
        </w:rPr>
      </w:pPr>
      <w:r w:rsidRPr="006E0C4E">
        <w:rPr>
          <w:rFonts w:ascii="Calibri" w:hAnsi="Calibri" w:cs="Calibri"/>
          <w:sz w:val="24"/>
          <w:szCs w:val="24"/>
        </w:rPr>
        <w:t>Bei Auffälligkeiten mit Drogen im Straßenverkehr wird eine Medizinisch-Psychologische-Untersuchung (MPU) angeordnet.</w:t>
      </w:r>
      <w:r w:rsidRPr="006E0C4E">
        <w:rPr>
          <w:rStyle w:val="Funotenzeichen"/>
          <w:rFonts w:ascii="Calibri" w:hAnsi="Calibri" w:cs="Calibri"/>
          <w:sz w:val="24"/>
          <w:szCs w:val="24"/>
        </w:rPr>
        <w:footnoteReference w:id="11"/>
      </w:r>
      <w:r w:rsidRPr="006E0C4E">
        <w:rPr>
          <w:rFonts w:ascii="Calibri" w:hAnsi="Calibri" w:cs="Calibri"/>
          <w:sz w:val="24"/>
          <w:szCs w:val="24"/>
        </w:rPr>
        <w:t xml:space="preserve"> </w:t>
      </w:r>
    </w:p>
    <w:p w:rsidR="007D4935" w:rsidRPr="006E0C4E" w:rsidRDefault="007D4935" w:rsidP="00165524">
      <w:pPr>
        <w:pStyle w:val="Listenabsatz"/>
        <w:numPr>
          <w:ilvl w:val="0"/>
          <w:numId w:val="34"/>
        </w:numPr>
        <w:spacing w:after="0" w:line="269" w:lineRule="auto"/>
        <w:rPr>
          <w:rFonts w:ascii="Calibri" w:hAnsi="Calibri" w:cs="Calibri"/>
          <w:sz w:val="24"/>
          <w:szCs w:val="24"/>
        </w:rPr>
      </w:pPr>
      <w:r w:rsidRPr="006E0C4E">
        <w:rPr>
          <w:rFonts w:ascii="Calibri" w:hAnsi="Calibri" w:cs="Calibri"/>
          <w:sz w:val="24"/>
          <w:szCs w:val="24"/>
        </w:rPr>
        <w:t>Selbst der Besitz von Drogen kann einen Führerscheinentzug und eine Bestrafung nach dem Betäubungsmittelgesetz (BtMG) zur Folge haben.</w:t>
      </w:r>
      <w:r w:rsidRPr="006E0C4E">
        <w:rPr>
          <w:rStyle w:val="Funotenzeichen"/>
          <w:rFonts w:ascii="Calibri" w:hAnsi="Calibri" w:cs="Calibri"/>
          <w:sz w:val="24"/>
          <w:szCs w:val="24"/>
        </w:rPr>
        <w:footnoteReference w:id="12"/>
      </w:r>
    </w:p>
    <w:p w:rsidR="007D4935" w:rsidRPr="006E0C4E" w:rsidRDefault="007D4935" w:rsidP="00165524">
      <w:pPr>
        <w:rPr>
          <w:rFonts w:ascii="Calibri" w:hAnsi="Calibri" w:cs="Calibri"/>
          <w:sz w:val="24"/>
          <w:szCs w:val="24"/>
        </w:rPr>
      </w:pPr>
    </w:p>
    <w:p w:rsidR="007D4935" w:rsidRPr="006E0C4E" w:rsidRDefault="007D4935" w:rsidP="00165524">
      <w:pPr>
        <w:pStyle w:val="Listenabsatz"/>
        <w:numPr>
          <w:ilvl w:val="0"/>
          <w:numId w:val="25"/>
        </w:numPr>
        <w:spacing w:after="0" w:line="269" w:lineRule="auto"/>
        <w:rPr>
          <w:rFonts w:ascii="Calibri" w:hAnsi="Calibri" w:cs="Calibri"/>
          <w:sz w:val="24"/>
          <w:szCs w:val="24"/>
        </w:rPr>
      </w:pPr>
      <w:r w:rsidRPr="006E0C4E">
        <w:rPr>
          <w:rFonts w:ascii="Calibri" w:hAnsi="Calibri" w:cs="Calibri"/>
          <w:sz w:val="24"/>
          <w:szCs w:val="24"/>
        </w:rPr>
        <w:t xml:space="preserve">Der Drogenkonsum beim Autofahren stellt ein lebensgefährliches Risiko dar. Es lassen sich weder Intensität noch Wirkdauer bei den Drogen kalkulieren. </w:t>
      </w:r>
    </w:p>
    <w:p w:rsidR="007D4935" w:rsidRPr="006E0C4E" w:rsidRDefault="007D4935" w:rsidP="00165524">
      <w:pPr>
        <w:pStyle w:val="Listenabsatz"/>
        <w:numPr>
          <w:ilvl w:val="0"/>
          <w:numId w:val="25"/>
        </w:numPr>
        <w:spacing w:after="0" w:line="269" w:lineRule="auto"/>
        <w:rPr>
          <w:rFonts w:ascii="Calibri" w:hAnsi="Calibri" w:cs="Calibri"/>
          <w:sz w:val="24"/>
          <w:szCs w:val="24"/>
        </w:rPr>
      </w:pPr>
      <w:r w:rsidRPr="006E0C4E">
        <w:rPr>
          <w:rFonts w:ascii="Calibri" w:hAnsi="Calibri" w:cs="Calibri"/>
          <w:sz w:val="24"/>
          <w:szCs w:val="24"/>
        </w:rPr>
        <w:lastRenderedPageBreak/>
        <w:t>Der Abbau bei den meisten Drogen ist abhängig von der Drogenkonzentration im Blut. Diese Konzentration ist schon bei einer einzigen konsumierten Droge nicht genau bestimmbar. Sollten mehrere unterschiedliche Drogen konsumiert werden, wird der Auf- und Abbau von einzelnen Substanzen durch die gegenseitige Beeinflussung völlig unkalkulierbar.</w:t>
      </w:r>
      <w:r w:rsidRPr="006E0C4E">
        <w:rPr>
          <w:rStyle w:val="Funotenzeichen"/>
          <w:rFonts w:ascii="Calibri" w:hAnsi="Calibri" w:cs="Calibri"/>
          <w:sz w:val="24"/>
          <w:szCs w:val="24"/>
        </w:rPr>
        <w:footnoteReference w:id="13"/>
      </w:r>
    </w:p>
    <w:p w:rsidR="007D4935" w:rsidRPr="006E0C4E" w:rsidRDefault="007D4935" w:rsidP="00165524">
      <w:pPr>
        <w:pStyle w:val="Listenabsatz"/>
        <w:widowControl w:val="0"/>
        <w:autoSpaceDE w:val="0"/>
        <w:autoSpaceDN w:val="0"/>
        <w:adjustRightInd w:val="0"/>
        <w:ind w:left="360"/>
        <w:rPr>
          <w:rFonts w:ascii="Calibri" w:hAnsi="Calibri" w:cs="Calibri"/>
          <w:sz w:val="24"/>
          <w:szCs w:val="24"/>
        </w:rPr>
      </w:pPr>
    </w:p>
    <w:p w:rsidR="007D4935" w:rsidRPr="006E0C4E" w:rsidRDefault="007D4935" w:rsidP="00165524">
      <w:pPr>
        <w:rPr>
          <w:rFonts w:ascii="Calibri" w:hAnsi="Calibri" w:cs="Calibri"/>
          <w:sz w:val="24"/>
          <w:szCs w:val="24"/>
        </w:rPr>
      </w:pPr>
    </w:p>
    <w:p w:rsidR="007D4935" w:rsidRPr="006E0C4E" w:rsidRDefault="007D4935" w:rsidP="00165524">
      <w:pPr>
        <w:rPr>
          <w:rFonts w:ascii="Calibri" w:hAnsi="Calibri" w:cs="Calibri"/>
          <w:sz w:val="24"/>
          <w:szCs w:val="24"/>
        </w:rPr>
      </w:pPr>
    </w:p>
    <w:p w:rsidR="007D4935" w:rsidRPr="006E0C4E" w:rsidRDefault="007D4935" w:rsidP="00165524">
      <w:pPr>
        <w:rPr>
          <w:rFonts w:ascii="Calibri" w:hAnsi="Calibri" w:cs="Calibri"/>
          <w:sz w:val="24"/>
          <w:szCs w:val="24"/>
        </w:rPr>
      </w:pPr>
    </w:p>
    <w:sectPr w:rsidR="007D4935" w:rsidRPr="006E0C4E" w:rsidSect="00775B3B">
      <w:headerReference w:type="default" r:id="rId9"/>
      <w:footerReference w:type="default" r:id="rId10"/>
      <w:headerReference w:type="first" r:id="rId11"/>
      <w:footerReference w:type="first" r:id="rId12"/>
      <w:pgSz w:w="11906" w:h="16838" w:code="9"/>
      <w:pgMar w:top="1701" w:right="1418" w:bottom="1418" w:left="1418"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935" w:rsidRDefault="007D4935">
      <w:pPr>
        <w:spacing w:after="0"/>
      </w:pPr>
      <w:r>
        <w:separator/>
      </w:r>
    </w:p>
  </w:endnote>
  <w:endnote w:type="continuationSeparator" w:id="0">
    <w:p w:rsidR="007D4935" w:rsidRDefault="007D49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egacy Sans SF EL Medium">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935" w:rsidRPr="009A5130" w:rsidRDefault="007D4935" w:rsidP="00CE3668">
    <w:pPr>
      <w:pStyle w:val="Fuzeile"/>
      <w:pBdr>
        <w:top w:val="single" w:sz="8" w:space="1" w:color="999999"/>
      </w:pBdr>
      <w:tabs>
        <w:tab w:val="clear" w:pos="4536"/>
        <w:tab w:val="left" w:pos="4253"/>
        <w:tab w:val="left" w:pos="5812"/>
      </w:tabs>
      <w:rPr>
        <w:rFonts w:ascii="Calibri" w:hAnsi="Calibri" w:cs="Calibri"/>
      </w:rPr>
    </w:pPr>
    <w:r w:rsidRPr="009A5130">
      <w:rPr>
        <w:rFonts w:ascii="Calibri" w:hAnsi="Calibri" w:cs="Calibri"/>
      </w:rPr>
      <w:t>201</w:t>
    </w:r>
    <w:r>
      <w:rPr>
        <w:rFonts w:ascii="Calibri" w:hAnsi="Calibri" w:cs="Calibri"/>
      </w:rPr>
      <w:t>6</w:t>
    </w:r>
    <w:r>
      <w:rPr>
        <w:rFonts w:ascii="Calibri" w:hAnsi="Calibri" w:cs="Calibri"/>
      </w:rPr>
      <w:tab/>
    </w:r>
    <w:hyperlink r:id="rId1" w:history="1">
      <w:r w:rsidRPr="00F90510">
        <w:rPr>
          <w:rStyle w:val="Hyperlink"/>
          <w:rFonts w:ascii="Calibri" w:hAnsi="Calibri" w:cs="Calibri"/>
        </w:rPr>
        <w:t>www.lehrer-online.de</w:t>
      </w:r>
    </w:hyperlink>
    <w:r>
      <w:rPr>
        <w:rFonts w:ascii="Calibri" w:hAnsi="Calibri" w:cs="Calibri"/>
      </w:rPr>
      <w:t xml:space="preserve"> </w:t>
    </w:r>
    <w:r w:rsidRPr="009A5130">
      <w:rPr>
        <w:rFonts w:ascii="Calibri" w:hAnsi="Calibri" w:cs="Calibri"/>
      </w:rPr>
      <w:tab/>
    </w:r>
    <w:r w:rsidRPr="009A5130">
      <w:rPr>
        <w:rFonts w:ascii="Calibri" w:hAnsi="Calibri" w:cs="Calibri"/>
      </w:rPr>
      <w:fldChar w:fldCharType="begin"/>
    </w:r>
    <w:r w:rsidRPr="009A5130">
      <w:rPr>
        <w:rFonts w:ascii="Calibri" w:hAnsi="Calibri" w:cs="Calibri"/>
      </w:rPr>
      <w:instrText xml:space="preserve"> PAGE </w:instrText>
    </w:r>
    <w:r w:rsidRPr="009A5130">
      <w:rPr>
        <w:rFonts w:ascii="Calibri" w:hAnsi="Calibri" w:cs="Calibri"/>
      </w:rPr>
      <w:fldChar w:fldCharType="separate"/>
    </w:r>
    <w:r w:rsidR="0072402E">
      <w:rPr>
        <w:rFonts w:ascii="Calibri" w:hAnsi="Calibri" w:cs="Calibri"/>
        <w:noProof/>
      </w:rPr>
      <w:t>5</w:t>
    </w:r>
    <w:r w:rsidRPr="009A5130">
      <w:rPr>
        <w:rFonts w:ascii="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935" w:rsidRDefault="007D4935">
    <w:pPr>
      <w:pStyle w:val="Fuzeile"/>
      <w:pBdr>
        <w:top w:val="single" w:sz="8" w:space="1" w:color="999999"/>
      </w:pBdr>
      <w:tabs>
        <w:tab w:val="clear" w:pos="4536"/>
        <w:tab w:val="left" w:pos="3780"/>
      </w:tabs>
      <w:rPr>
        <w:sz w:val="24"/>
        <w:szCs w:val="24"/>
      </w:rPr>
    </w:pPr>
    <w:r>
      <w:rPr>
        <w:sz w:val="24"/>
        <w:szCs w:val="24"/>
      </w:rPr>
      <w:t>© 2002, Schulen ans Netz. e.V.</w:t>
    </w:r>
    <w:r>
      <w:rPr>
        <w:sz w:val="24"/>
        <w:szCs w:val="24"/>
      </w:rPr>
      <w:tab/>
      <w:t>http://www.lehrer-online.de/fach</w:t>
    </w:r>
    <w:r>
      <w:rPr>
        <w:sz w:val="24"/>
        <w:szCs w:val="24"/>
      </w:rPr>
      <w:tab/>
    </w: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935" w:rsidRDefault="007D4935">
      <w:pPr>
        <w:spacing w:after="0"/>
      </w:pPr>
      <w:r>
        <w:separator/>
      </w:r>
    </w:p>
  </w:footnote>
  <w:footnote w:type="continuationSeparator" w:id="0">
    <w:p w:rsidR="007D4935" w:rsidRDefault="007D4935">
      <w:pPr>
        <w:spacing w:after="0"/>
      </w:pPr>
      <w:r>
        <w:continuationSeparator/>
      </w:r>
    </w:p>
  </w:footnote>
  <w:footnote w:id="1">
    <w:p w:rsidR="007D4935" w:rsidRPr="0072402E" w:rsidRDefault="007D4935" w:rsidP="0025169C">
      <w:pPr>
        <w:pStyle w:val="Funotentext"/>
        <w:spacing w:line="240" w:lineRule="auto"/>
        <w:rPr>
          <w:rFonts w:asciiTheme="minorHAnsi" w:hAnsiTheme="minorHAnsi" w:cstheme="minorHAnsi"/>
        </w:rPr>
      </w:pPr>
      <w:r w:rsidRPr="0072402E">
        <w:rPr>
          <w:rStyle w:val="Funotenzeichen"/>
          <w:rFonts w:asciiTheme="minorHAnsi" w:hAnsiTheme="minorHAnsi" w:cstheme="minorHAnsi"/>
        </w:rPr>
        <w:footnoteRef/>
      </w:r>
      <w:r w:rsidRPr="0072402E">
        <w:rPr>
          <w:rFonts w:asciiTheme="minorHAnsi" w:hAnsiTheme="minorHAnsi" w:cstheme="minorHAnsi"/>
        </w:rPr>
        <w:t xml:space="preserve"> </w:t>
      </w:r>
      <w:r w:rsidRPr="0072402E">
        <w:rPr>
          <w:rFonts w:asciiTheme="minorHAnsi" w:hAnsiTheme="minorHAnsi" w:cstheme="minorHAnsi"/>
          <w:sz w:val="16"/>
          <w:szCs w:val="16"/>
        </w:rPr>
        <w:t>Statistisches Bundesamt (2015) Verkehrsunfälle - Fachserie 8 Reihe 7 – 2015</w:t>
      </w:r>
    </w:p>
  </w:footnote>
  <w:footnote w:id="2">
    <w:p w:rsidR="007D4935" w:rsidRPr="0072402E" w:rsidRDefault="007D4935" w:rsidP="0025169C">
      <w:pPr>
        <w:pStyle w:val="Funotentext"/>
        <w:spacing w:line="240" w:lineRule="auto"/>
        <w:rPr>
          <w:rFonts w:asciiTheme="minorHAnsi" w:hAnsiTheme="minorHAnsi" w:cstheme="minorHAnsi"/>
        </w:rPr>
      </w:pPr>
      <w:r w:rsidRPr="0072402E">
        <w:rPr>
          <w:rStyle w:val="Funotenzeichen"/>
          <w:rFonts w:asciiTheme="minorHAnsi" w:hAnsiTheme="minorHAnsi" w:cstheme="minorHAnsi"/>
        </w:rPr>
        <w:footnoteRef/>
      </w:r>
      <w:r w:rsidRPr="0072402E">
        <w:rPr>
          <w:rFonts w:asciiTheme="minorHAnsi" w:hAnsiTheme="minorHAnsi" w:cstheme="minorHAnsi"/>
        </w:rPr>
        <w:t xml:space="preserve"> </w:t>
      </w:r>
      <w:r w:rsidRPr="0072402E">
        <w:rPr>
          <w:rFonts w:asciiTheme="minorHAnsi" w:hAnsiTheme="minorHAnsi" w:cstheme="minorHAnsi"/>
          <w:sz w:val="16"/>
          <w:szCs w:val="16"/>
        </w:rPr>
        <w:t>Statistisches Bundesamt (2015): Verkehrsunfälle. Unfälle unter dem Einfluss von Alkohol oder anderen berauschenden Mitteln im Straßenverkehr, S. 4.</w:t>
      </w:r>
    </w:p>
  </w:footnote>
  <w:footnote w:id="3">
    <w:p w:rsidR="007D4935" w:rsidRDefault="007D4935" w:rsidP="0025169C">
      <w:pPr>
        <w:pStyle w:val="Funotentext"/>
        <w:spacing w:line="240" w:lineRule="auto"/>
      </w:pPr>
      <w:r w:rsidRPr="0072402E">
        <w:rPr>
          <w:rFonts w:asciiTheme="minorHAnsi" w:hAnsiTheme="minorHAnsi" w:cstheme="minorHAnsi"/>
          <w:b/>
          <w:bCs/>
          <w:sz w:val="16"/>
          <w:szCs w:val="16"/>
        </w:rPr>
        <w:footnoteRef/>
      </w:r>
      <w:r w:rsidRPr="0072402E">
        <w:rPr>
          <w:rFonts w:asciiTheme="minorHAnsi" w:hAnsiTheme="minorHAnsi" w:cstheme="minorHAnsi"/>
          <w:b/>
          <w:bCs/>
          <w:sz w:val="16"/>
          <w:szCs w:val="16"/>
        </w:rPr>
        <w:t xml:space="preserve"> </w:t>
      </w:r>
      <w:r w:rsidRPr="0072402E">
        <w:rPr>
          <w:rFonts w:asciiTheme="minorHAnsi" w:hAnsiTheme="minorHAnsi" w:cstheme="minorHAnsi"/>
          <w:sz w:val="16"/>
          <w:szCs w:val="16"/>
        </w:rPr>
        <w:t>vgl.</w:t>
      </w:r>
      <w:r w:rsidRPr="0072402E">
        <w:rPr>
          <w:rFonts w:asciiTheme="minorHAnsi" w:hAnsiTheme="minorHAnsi" w:cstheme="minorHAnsi"/>
          <w:b/>
          <w:bCs/>
          <w:sz w:val="16"/>
          <w:szCs w:val="16"/>
        </w:rPr>
        <w:t xml:space="preserve"> </w:t>
      </w:r>
      <w:r w:rsidRPr="0072402E">
        <w:rPr>
          <w:rFonts w:asciiTheme="minorHAnsi" w:hAnsiTheme="minorHAnsi" w:cstheme="minorHAnsi"/>
          <w:sz w:val="16"/>
          <w:szCs w:val="16"/>
        </w:rPr>
        <w:t>Deutsche Verkehrswacht (2016): Aktion: junge Fahrer Projektbaustein Drogen, S.1.</w:t>
      </w:r>
      <w:r w:rsidRPr="00D6118B">
        <w:rPr>
          <w:rFonts w:ascii="Legacy Sans SF EL Medium" w:hAnsi="Legacy Sans SF EL Medium" w:cs="Legacy Sans SF EL Medium"/>
          <w:sz w:val="18"/>
          <w:szCs w:val="18"/>
        </w:rPr>
        <w:t xml:space="preserve"> </w:t>
      </w:r>
    </w:p>
  </w:footnote>
  <w:footnote w:id="4">
    <w:p w:rsidR="007D4935" w:rsidRPr="0072402E" w:rsidRDefault="007D4935" w:rsidP="0025169C">
      <w:pPr>
        <w:pStyle w:val="Funotentext"/>
        <w:spacing w:line="240" w:lineRule="auto"/>
        <w:rPr>
          <w:rFonts w:asciiTheme="minorHAnsi" w:hAnsiTheme="minorHAnsi" w:cstheme="minorHAnsi"/>
        </w:rPr>
      </w:pPr>
      <w:r w:rsidRPr="0072402E">
        <w:rPr>
          <w:rFonts w:asciiTheme="minorHAnsi" w:hAnsiTheme="minorHAnsi" w:cstheme="minorHAnsi"/>
          <w:b/>
          <w:bCs/>
          <w:sz w:val="16"/>
          <w:szCs w:val="16"/>
        </w:rPr>
        <w:footnoteRef/>
      </w:r>
      <w:r w:rsidRPr="0072402E">
        <w:rPr>
          <w:rFonts w:asciiTheme="minorHAnsi" w:hAnsiTheme="minorHAnsi" w:cstheme="minorHAnsi"/>
          <w:b/>
          <w:bCs/>
          <w:sz w:val="16"/>
          <w:szCs w:val="16"/>
        </w:rPr>
        <w:t xml:space="preserve"> </w:t>
      </w:r>
      <w:r w:rsidRPr="0072402E">
        <w:rPr>
          <w:rFonts w:asciiTheme="minorHAnsi" w:hAnsiTheme="minorHAnsi" w:cstheme="minorHAnsi"/>
          <w:sz w:val="16"/>
          <w:szCs w:val="16"/>
        </w:rPr>
        <w:t xml:space="preserve">vgl. Deutsche Hauptstelle für Suchtanfragen: Alkohol Basisinformationen. Online verfügbar unter: http://www.dhs.de/fileadmin/user_upload/pdf/Broschueren/Basisinfo_Alkohol.pdf (zuletzt geprüft am 9.8.2016). </w:t>
      </w:r>
    </w:p>
  </w:footnote>
  <w:footnote w:id="5">
    <w:p w:rsidR="007D4935" w:rsidRPr="0072402E" w:rsidRDefault="007D4935" w:rsidP="0025169C">
      <w:pPr>
        <w:pStyle w:val="Funotentext"/>
        <w:spacing w:line="240" w:lineRule="auto"/>
        <w:rPr>
          <w:rFonts w:asciiTheme="minorHAnsi" w:hAnsiTheme="minorHAnsi" w:cstheme="minorHAnsi"/>
        </w:rPr>
      </w:pPr>
      <w:r w:rsidRPr="0072402E">
        <w:rPr>
          <w:rFonts w:asciiTheme="minorHAnsi" w:hAnsiTheme="minorHAnsi" w:cstheme="minorHAnsi"/>
          <w:b/>
          <w:bCs/>
          <w:sz w:val="16"/>
          <w:szCs w:val="16"/>
        </w:rPr>
        <w:footnoteRef/>
      </w:r>
      <w:r w:rsidRPr="0072402E">
        <w:rPr>
          <w:rFonts w:asciiTheme="minorHAnsi" w:hAnsiTheme="minorHAnsi" w:cstheme="minorHAnsi"/>
          <w:sz w:val="16"/>
          <w:szCs w:val="16"/>
        </w:rPr>
        <w:t xml:space="preserve"> vgl. Deutsche Hauptstelle für Suchtfragen: Online verfügbar unter: http://www.dhs.de/datenfakten/alkohol.html (zuletzt geprüft am 9.8.2016). </w:t>
      </w:r>
    </w:p>
  </w:footnote>
  <w:footnote w:id="6">
    <w:p w:rsidR="007D4935" w:rsidRPr="0072402E" w:rsidRDefault="007D4935" w:rsidP="0025169C">
      <w:pPr>
        <w:pStyle w:val="Funotentext"/>
        <w:spacing w:line="240" w:lineRule="auto"/>
        <w:rPr>
          <w:rFonts w:asciiTheme="minorHAnsi" w:hAnsiTheme="minorHAnsi" w:cstheme="minorHAnsi"/>
        </w:rPr>
      </w:pPr>
      <w:r w:rsidRPr="0072402E">
        <w:rPr>
          <w:rFonts w:asciiTheme="minorHAnsi" w:hAnsiTheme="minorHAnsi" w:cstheme="minorHAnsi"/>
          <w:sz w:val="16"/>
          <w:szCs w:val="16"/>
        </w:rPr>
        <w:footnoteRef/>
      </w:r>
      <w:r w:rsidRPr="0072402E">
        <w:rPr>
          <w:rFonts w:asciiTheme="minorHAnsi" w:hAnsiTheme="minorHAnsi" w:cstheme="minorHAnsi"/>
          <w:sz w:val="16"/>
          <w:szCs w:val="16"/>
        </w:rPr>
        <w:t xml:space="preserve"> vgl. Deutsche Hauptstelle für Suchtanfragen: Alkohol Basisinformationen. S.28f. Online verfügbar unter: http://www.dhs.de/fileadmin/user_upload/pdf/Broschueren/Basisinfo_Alkohol.pdf (zuletzt geprüft am 9.8.2016).</w:t>
      </w:r>
    </w:p>
  </w:footnote>
  <w:footnote w:id="7">
    <w:p w:rsidR="007D4935" w:rsidRPr="0072402E" w:rsidRDefault="007D4935" w:rsidP="0025169C">
      <w:pPr>
        <w:pStyle w:val="Funotentext"/>
        <w:spacing w:line="240" w:lineRule="auto"/>
        <w:rPr>
          <w:rFonts w:asciiTheme="minorHAnsi" w:hAnsiTheme="minorHAnsi" w:cstheme="minorHAnsi"/>
        </w:rPr>
      </w:pPr>
      <w:r w:rsidRPr="0072402E">
        <w:rPr>
          <w:rFonts w:asciiTheme="minorHAnsi" w:hAnsiTheme="minorHAnsi" w:cstheme="minorHAnsi"/>
          <w:b/>
          <w:bCs/>
          <w:sz w:val="16"/>
          <w:szCs w:val="16"/>
        </w:rPr>
        <w:footnoteRef/>
      </w:r>
      <w:r w:rsidRPr="0072402E">
        <w:rPr>
          <w:rFonts w:asciiTheme="minorHAnsi" w:hAnsiTheme="minorHAnsi" w:cstheme="minorHAnsi"/>
          <w:b/>
          <w:bCs/>
          <w:sz w:val="16"/>
          <w:szCs w:val="16"/>
        </w:rPr>
        <w:t xml:space="preserve"> </w:t>
      </w:r>
      <w:r w:rsidRPr="0072402E">
        <w:rPr>
          <w:rFonts w:asciiTheme="minorHAnsi" w:hAnsiTheme="minorHAnsi" w:cstheme="minorHAnsi"/>
          <w:sz w:val="16"/>
          <w:szCs w:val="16"/>
        </w:rPr>
        <w:t xml:space="preserve">vgl. Gesamtverband der Deutschen Versicherungswirtschaft e.V.: Unterrichtsleitfaden zum Fahrschulmedienpaket. Alkohol, Drogen und Medikamente im Straßenverkehr. </w:t>
      </w:r>
    </w:p>
  </w:footnote>
  <w:footnote w:id="8">
    <w:p w:rsidR="007D4935" w:rsidRPr="0072402E" w:rsidRDefault="007D4935" w:rsidP="0025169C">
      <w:pPr>
        <w:pStyle w:val="Funotentext"/>
        <w:spacing w:line="240" w:lineRule="auto"/>
        <w:rPr>
          <w:rFonts w:asciiTheme="minorHAnsi" w:hAnsiTheme="minorHAnsi" w:cstheme="minorHAnsi"/>
        </w:rPr>
      </w:pPr>
      <w:r w:rsidRPr="0072402E">
        <w:rPr>
          <w:rFonts w:asciiTheme="minorHAnsi" w:hAnsiTheme="minorHAnsi" w:cstheme="minorHAnsi"/>
          <w:b/>
          <w:bCs/>
          <w:sz w:val="16"/>
          <w:szCs w:val="16"/>
        </w:rPr>
        <w:footnoteRef/>
      </w:r>
      <w:r w:rsidRPr="0072402E">
        <w:rPr>
          <w:rFonts w:asciiTheme="minorHAnsi" w:hAnsiTheme="minorHAnsi" w:cstheme="minorHAnsi"/>
          <w:sz w:val="16"/>
          <w:szCs w:val="16"/>
        </w:rPr>
        <w:t xml:space="preserve"> vgl. ADFC: Radfahrer und Alkohol. Geringerer Grenzwert für Radfahrer. Online verfügbar unter: http://www.adfc.de/promillegrenze/radfahren-und-alkohol-geringerer-grenzwert-fuer-radfahrer-teil-1 (zuletzt geprüft am 9.8.2016).</w:t>
      </w:r>
      <w:r w:rsidRPr="0072402E">
        <w:rPr>
          <w:rFonts w:asciiTheme="minorHAnsi" w:hAnsiTheme="minorHAnsi" w:cstheme="minorHAnsi"/>
          <w:sz w:val="18"/>
          <w:szCs w:val="18"/>
        </w:rPr>
        <w:t xml:space="preserve"> </w:t>
      </w:r>
    </w:p>
  </w:footnote>
  <w:footnote w:id="9">
    <w:p w:rsidR="007D4935" w:rsidRPr="0072402E" w:rsidRDefault="007D4935" w:rsidP="0025169C">
      <w:pPr>
        <w:tabs>
          <w:tab w:val="left" w:pos="709"/>
        </w:tabs>
        <w:spacing w:after="0"/>
        <w:rPr>
          <w:rFonts w:asciiTheme="minorHAnsi" w:hAnsiTheme="minorHAnsi" w:cstheme="minorHAnsi"/>
        </w:rPr>
      </w:pPr>
      <w:r w:rsidRPr="0072402E">
        <w:rPr>
          <w:rFonts w:asciiTheme="minorHAnsi" w:hAnsiTheme="minorHAnsi" w:cstheme="minorHAnsi"/>
          <w:b/>
          <w:bCs/>
          <w:sz w:val="16"/>
          <w:szCs w:val="16"/>
        </w:rPr>
        <w:footnoteRef/>
      </w:r>
      <w:r w:rsidRPr="0072402E">
        <w:rPr>
          <w:rFonts w:asciiTheme="minorHAnsi" w:hAnsiTheme="minorHAnsi" w:cstheme="minorHAnsi"/>
          <w:b/>
          <w:bCs/>
          <w:sz w:val="16"/>
          <w:szCs w:val="16"/>
        </w:rPr>
        <w:t xml:space="preserve"> </w:t>
      </w:r>
      <w:r w:rsidRPr="0072402E">
        <w:rPr>
          <w:rFonts w:asciiTheme="minorHAnsi" w:hAnsiTheme="minorHAnsi" w:cstheme="minorHAnsi"/>
          <w:sz w:val="16"/>
          <w:szCs w:val="16"/>
        </w:rPr>
        <w:t>vgl. Deutsche Hauptstelle für Suchtanfragen: Alkohol Basisinformationen. S.35. Online verfügbar unter: http://www.dhs.de/fileadmin/user_upload/pdf/Broschueren/Basisinfo_Alkohol.pdf (zuletzt geprüft am 9.8.2016).</w:t>
      </w:r>
    </w:p>
  </w:footnote>
  <w:footnote w:id="10">
    <w:p w:rsidR="007D4935" w:rsidRPr="0072402E" w:rsidRDefault="007D4935" w:rsidP="0025169C">
      <w:pPr>
        <w:pStyle w:val="Funotentext"/>
        <w:spacing w:line="240" w:lineRule="auto"/>
        <w:rPr>
          <w:rFonts w:asciiTheme="minorHAnsi" w:hAnsiTheme="minorHAnsi" w:cstheme="minorHAnsi"/>
        </w:rPr>
      </w:pPr>
      <w:r w:rsidRPr="0072402E">
        <w:rPr>
          <w:rFonts w:asciiTheme="minorHAnsi" w:hAnsiTheme="minorHAnsi" w:cstheme="minorHAnsi"/>
          <w:b/>
          <w:bCs/>
          <w:sz w:val="16"/>
          <w:szCs w:val="16"/>
        </w:rPr>
        <w:footnoteRef/>
      </w:r>
      <w:r w:rsidRPr="0072402E">
        <w:rPr>
          <w:rFonts w:asciiTheme="minorHAnsi" w:hAnsiTheme="minorHAnsi" w:cstheme="minorHAnsi"/>
          <w:b/>
          <w:bCs/>
          <w:sz w:val="16"/>
          <w:szCs w:val="16"/>
        </w:rPr>
        <w:t xml:space="preserve"> </w:t>
      </w:r>
      <w:r w:rsidRPr="0072402E">
        <w:rPr>
          <w:rFonts w:asciiTheme="minorHAnsi" w:hAnsiTheme="minorHAnsi" w:cstheme="minorHAnsi"/>
          <w:sz w:val="16"/>
          <w:szCs w:val="16"/>
        </w:rPr>
        <w:t>vgl.</w:t>
      </w:r>
      <w:r w:rsidRPr="0072402E">
        <w:rPr>
          <w:rFonts w:asciiTheme="minorHAnsi" w:hAnsiTheme="minorHAnsi" w:cstheme="minorHAnsi"/>
          <w:sz w:val="22"/>
          <w:szCs w:val="22"/>
        </w:rPr>
        <w:t xml:space="preserve"> </w:t>
      </w:r>
      <w:r w:rsidRPr="0072402E">
        <w:rPr>
          <w:rFonts w:asciiTheme="minorHAnsi" w:hAnsiTheme="minorHAnsi" w:cstheme="minorHAnsi"/>
          <w:sz w:val="16"/>
          <w:szCs w:val="16"/>
        </w:rPr>
        <w:t>DVR:</w:t>
      </w:r>
      <w:r w:rsidRPr="0072402E">
        <w:rPr>
          <w:rFonts w:asciiTheme="minorHAnsi" w:hAnsiTheme="minorHAnsi" w:cstheme="minorHAnsi"/>
          <w:sz w:val="22"/>
          <w:szCs w:val="22"/>
        </w:rPr>
        <w:t xml:space="preserve"> </w:t>
      </w:r>
      <w:r w:rsidRPr="0072402E">
        <w:rPr>
          <w:rFonts w:asciiTheme="minorHAnsi" w:hAnsiTheme="minorHAnsi" w:cstheme="minorHAnsi"/>
          <w:sz w:val="16"/>
          <w:szCs w:val="16"/>
        </w:rPr>
        <w:t>Drogen im Straßenverkehr: http://www.dvr.de/drogen/index.htm (zuletzt geprüft am 9.8.2016).</w:t>
      </w:r>
    </w:p>
  </w:footnote>
  <w:footnote w:id="11">
    <w:p w:rsidR="007D4935" w:rsidRPr="0072402E" w:rsidRDefault="007D4935" w:rsidP="0025169C">
      <w:pPr>
        <w:pStyle w:val="Funotentext"/>
        <w:spacing w:line="240" w:lineRule="auto"/>
        <w:rPr>
          <w:rFonts w:asciiTheme="minorHAnsi" w:hAnsiTheme="minorHAnsi" w:cstheme="minorHAnsi"/>
        </w:rPr>
      </w:pPr>
      <w:r w:rsidRPr="0072402E">
        <w:rPr>
          <w:rFonts w:asciiTheme="minorHAnsi" w:hAnsiTheme="minorHAnsi" w:cstheme="minorHAnsi"/>
          <w:b/>
          <w:bCs/>
          <w:sz w:val="16"/>
          <w:szCs w:val="16"/>
        </w:rPr>
        <w:footnoteRef/>
      </w:r>
      <w:r w:rsidRPr="0072402E">
        <w:rPr>
          <w:rFonts w:asciiTheme="minorHAnsi" w:hAnsiTheme="minorHAnsi" w:cstheme="minorHAnsi"/>
          <w:b/>
          <w:bCs/>
          <w:sz w:val="16"/>
          <w:szCs w:val="16"/>
        </w:rPr>
        <w:t xml:space="preserve"> </w:t>
      </w:r>
      <w:r w:rsidRPr="0072402E">
        <w:rPr>
          <w:rFonts w:asciiTheme="minorHAnsi" w:hAnsiTheme="minorHAnsi" w:cstheme="minorHAnsi"/>
          <w:sz w:val="16"/>
          <w:szCs w:val="16"/>
        </w:rPr>
        <w:t xml:space="preserve">vgl. BMVI: Information zur Medizinisch-Psychologischen Untersuchung (MPU). </w:t>
      </w:r>
    </w:p>
  </w:footnote>
  <w:footnote w:id="12">
    <w:p w:rsidR="007D4935" w:rsidRDefault="007D4935" w:rsidP="0025169C">
      <w:pPr>
        <w:pStyle w:val="Funotentext"/>
        <w:spacing w:line="240" w:lineRule="auto"/>
      </w:pPr>
      <w:r w:rsidRPr="0072402E">
        <w:rPr>
          <w:rFonts w:asciiTheme="minorHAnsi" w:hAnsiTheme="minorHAnsi" w:cstheme="minorHAnsi"/>
          <w:b/>
          <w:bCs/>
          <w:sz w:val="16"/>
          <w:szCs w:val="16"/>
        </w:rPr>
        <w:footnoteRef/>
      </w:r>
      <w:r w:rsidRPr="0072402E">
        <w:rPr>
          <w:rFonts w:asciiTheme="minorHAnsi" w:hAnsiTheme="minorHAnsi" w:cstheme="minorHAnsi"/>
          <w:b/>
          <w:bCs/>
          <w:sz w:val="16"/>
          <w:szCs w:val="16"/>
        </w:rPr>
        <w:t xml:space="preserve"> </w:t>
      </w:r>
      <w:r w:rsidRPr="0072402E">
        <w:rPr>
          <w:rFonts w:asciiTheme="minorHAnsi" w:hAnsiTheme="minorHAnsi" w:cstheme="minorHAnsi"/>
          <w:sz w:val="16"/>
          <w:szCs w:val="16"/>
        </w:rPr>
        <w:t>vgl.</w:t>
      </w:r>
      <w:r w:rsidRPr="0072402E">
        <w:rPr>
          <w:rFonts w:asciiTheme="minorHAnsi" w:hAnsiTheme="minorHAnsi" w:cstheme="minorHAnsi"/>
          <w:sz w:val="22"/>
          <w:szCs w:val="22"/>
        </w:rPr>
        <w:t xml:space="preserve"> </w:t>
      </w:r>
      <w:r w:rsidRPr="0072402E">
        <w:rPr>
          <w:rFonts w:asciiTheme="minorHAnsi" w:hAnsiTheme="minorHAnsi" w:cstheme="minorHAnsi"/>
          <w:sz w:val="16"/>
          <w:szCs w:val="16"/>
        </w:rPr>
        <w:t>Deutsche Verkehrswacht (2016): Aktion: junge Fahrer Projektbaustein Drogen, S.2f.</w:t>
      </w:r>
    </w:p>
  </w:footnote>
  <w:footnote w:id="13">
    <w:p w:rsidR="007D4935" w:rsidRPr="0072402E" w:rsidRDefault="007D4935" w:rsidP="0025169C">
      <w:pPr>
        <w:pStyle w:val="Funotentext"/>
        <w:spacing w:line="240" w:lineRule="auto"/>
        <w:rPr>
          <w:rFonts w:asciiTheme="minorHAnsi" w:hAnsiTheme="minorHAnsi" w:cstheme="minorHAnsi"/>
        </w:rPr>
      </w:pPr>
      <w:bookmarkStart w:id="0" w:name="_GoBack"/>
      <w:r w:rsidRPr="0072402E">
        <w:rPr>
          <w:rFonts w:asciiTheme="minorHAnsi" w:hAnsiTheme="minorHAnsi" w:cstheme="minorHAnsi"/>
          <w:b/>
          <w:bCs/>
          <w:sz w:val="16"/>
          <w:szCs w:val="16"/>
        </w:rPr>
        <w:footnoteRef/>
      </w:r>
      <w:r w:rsidRPr="0072402E">
        <w:rPr>
          <w:rFonts w:asciiTheme="minorHAnsi" w:hAnsiTheme="minorHAnsi" w:cstheme="minorHAnsi"/>
          <w:b/>
          <w:bCs/>
          <w:sz w:val="16"/>
          <w:szCs w:val="16"/>
        </w:rPr>
        <w:t xml:space="preserve"> </w:t>
      </w:r>
      <w:r w:rsidRPr="0072402E">
        <w:rPr>
          <w:rFonts w:asciiTheme="minorHAnsi" w:hAnsiTheme="minorHAnsi" w:cstheme="minorHAnsi"/>
          <w:sz w:val="16"/>
          <w:szCs w:val="16"/>
        </w:rPr>
        <w:t>vgl. DVR: Folgerungen für den Straßenverkehr. Online verfügbar unter: http://www.dvr.de/drogen/folgerungen_fuer_den_strassenverkehr.htm (zuletzt geprüft am 9.8.2016).</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935" w:rsidRPr="00997B6D" w:rsidRDefault="0072402E" w:rsidP="00CC12A7">
    <w:pPr>
      <w:pBdr>
        <w:bottom w:val="single" w:sz="8" w:space="1" w:color="999999"/>
      </w:pBdr>
      <w:tabs>
        <w:tab w:val="center" w:pos="5103"/>
        <w:tab w:val="right" w:pos="9072"/>
      </w:tabs>
      <w:spacing w:after="0"/>
      <w:rPr>
        <w:rFonts w:ascii="Calibri" w:hAnsi="Calibri" w:cs="Calibri"/>
      </w:rPr>
    </w:pPr>
    <w:hyperlink r:id="rId1" w:history="1">
      <w:r w:rsidR="007D4935">
        <w:rPr>
          <w:rStyle w:val="Hyperlink"/>
          <w:rFonts w:ascii="Calibri" w:hAnsi="Calibri" w:cs="Calibri"/>
        </w:rPr>
        <w:t xml:space="preserve">Alkohol und Drogen </w:t>
      </w:r>
      <w:r w:rsidR="007D4935" w:rsidRPr="002262F1">
        <w:rPr>
          <w:rStyle w:val="Hyperlink"/>
          <w:rFonts w:ascii="Calibri" w:hAnsi="Calibri" w:cs="Calibri"/>
        </w:rPr>
        <w:t>im Straßenverkehr</w:t>
      </w:r>
    </w:hyperlink>
    <w:r w:rsidR="007D4935" w:rsidRPr="009A5130">
      <w:rPr>
        <w:rFonts w:ascii="Calibri" w:hAnsi="Calibri" w:cs="Calibri"/>
      </w:rPr>
      <w:tab/>
    </w:r>
    <w:r w:rsidR="007D4935">
      <w:rPr>
        <w:rFonts w:ascii="Calibri" w:hAnsi="Calibri" w:cs="Calibri"/>
      </w:rPr>
      <w:tab/>
    </w:r>
    <w:r w:rsidR="007D4935" w:rsidRPr="009A5130">
      <w:rPr>
        <w:rFonts w:ascii="Calibri" w:hAnsi="Calibri" w:cs="Calibri"/>
      </w:rPr>
      <w:t>Autor</w:t>
    </w:r>
    <w:r w:rsidR="007D4935">
      <w:rPr>
        <w:rFonts w:ascii="Calibri" w:hAnsi="Calibri" w:cs="Calibri"/>
      </w:rPr>
      <w:t>in</w:t>
    </w:r>
    <w:r w:rsidR="007D4935" w:rsidRPr="009A5130">
      <w:rPr>
        <w:rFonts w:ascii="Calibri" w:hAnsi="Calibri" w:cs="Calibri"/>
      </w:rPr>
      <w:t xml:space="preserve">: </w:t>
    </w:r>
    <w:r w:rsidR="007D4935">
      <w:rPr>
        <w:rFonts w:ascii="Calibri" w:hAnsi="Calibri" w:cs="Calibri"/>
      </w:rPr>
      <w:t xml:space="preserve">Susanne </w:t>
    </w:r>
    <w:proofErr w:type="spellStart"/>
    <w:r w:rsidR="007D4935">
      <w:rPr>
        <w:rFonts w:ascii="Calibri" w:hAnsi="Calibri" w:cs="Calibri"/>
      </w:rPr>
      <w:t>Patzelt</w:t>
    </w:r>
    <w:proofErr w:type="spellEnd"/>
  </w:p>
  <w:p w:rsidR="007D4935" w:rsidRPr="00CC12A7" w:rsidRDefault="007D4935" w:rsidP="00CC12A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935" w:rsidRDefault="007D4935">
    <w:pPr>
      <w:pBdr>
        <w:bottom w:val="single" w:sz="8" w:space="1" w:color="999999"/>
      </w:pBdr>
      <w:tabs>
        <w:tab w:val="center" w:pos="4535"/>
        <w:tab w:val="right" w:pos="9072"/>
      </w:tabs>
      <w:spacing w:after="0"/>
      <w:rPr>
        <w:sz w:val="24"/>
        <w:szCs w:val="24"/>
      </w:rPr>
    </w:pPr>
    <w:r>
      <w:rPr>
        <w:sz w:val="24"/>
        <w:szCs w:val="24"/>
      </w:rPr>
      <w:t>Unterrichtseinheit</w:t>
    </w:r>
    <w:r>
      <w:rPr>
        <w:sz w:val="24"/>
        <w:szCs w:val="24"/>
      </w:rPr>
      <w:tab/>
    </w:r>
    <w:r>
      <w:rPr>
        <w:sz w:val="24"/>
        <w:szCs w:val="24"/>
      </w:rPr>
      <w:tab/>
      <w:t>Autorin: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688C8C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6FA5AC4"/>
    <w:multiLevelType w:val="hybridMultilevel"/>
    <w:tmpl w:val="A5809FAC"/>
    <w:lvl w:ilvl="0" w:tplc="2DEE4954">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185752"/>
    <w:multiLevelType w:val="hybridMultilevel"/>
    <w:tmpl w:val="69741B70"/>
    <w:lvl w:ilvl="0" w:tplc="0407000B">
      <w:start w:val="1"/>
      <w:numFmt w:val="bullet"/>
      <w:lvlText w:val=""/>
      <w:lvlJc w:val="left"/>
      <w:pPr>
        <w:ind w:left="1080" w:hanging="360"/>
      </w:pPr>
      <w:rPr>
        <w:rFonts w:ascii="Wingdings" w:hAnsi="Wingdings" w:cs="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0B6A1547"/>
    <w:multiLevelType w:val="hybridMultilevel"/>
    <w:tmpl w:val="9BB28B90"/>
    <w:lvl w:ilvl="0" w:tplc="04070001">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DBA1BE8"/>
    <w:multiLevelType w:val="hybridMultilevel"/>
    <w:tmpl w:val="B6AEC828"/>
    <w:lvl w:ilvl="0" w:tplc="0407000B">
      <w:start w:val="1"/>
      <w:numFmt w:val="bullet"/>
      <w:lvlText w:val=""/>
      <w:lvlJc w:val="left"/>
      <w:pPr>
        <w:ind w:left="1080" w:hanging="360"/>
      </w:pPr>
      <w:rPr>
        <w:rFonts w:ascii="Wingdings" w:hAnsi="Wingdings" w:cs="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E25331D"/>
    <w:multiLevelType w:val="hybridMultilevel"/>
    <w:tmpl w:val="737E4944"/>
    <w:lvl w:ilvl="0" w:tplc="0407000F">
      <w:start w:val="1"/>
      <w:numFmt w:val="decimal"/>
      <w:pStyle w:val="Aufzhlungszeichen"/>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1FD01F62"/>
    <w:multiLevelType w:val="hybridMultilevel"/>
    <w:tmpl w:val="53987A98"/>
    <w:lvl w:ilvl="0" w:tplc="0407000B">
      <w:start w:val="1"/>
      <w:numFmt w:val="bullet"/>
      <w:lvlText w:val=""/>
      <w:lvlJc w:val="left"/>
      <w:pPr>
        <w:ind w:left="1080" w:hanging="360"/>
      </w:pPr>
      <w:rPr>
        <w:rFonts w:ascii="Wingdings" w:hAnsi="Wingdings" w:cs="Wingdings" w:hint="default"/>
      </w:rPr>
    </w:lvl>
    <w:lvl w:ilvl="1" w:tplc="04070003" w:tentative="1">
      <w:start w:val="1"/>
      <w:numFmt w:val="bullet"/>
      <w:lvlText w:val="o"/>
      <w:lvlJc w:val="left"/>
      <w:pPr>
        <w:ind w:left="1516" w:hanging="360"/>
      </w:pPr>
      <w:rPr>
        <w:rFonts w:ascii="Courier" w:hAnsi="Courier" w:cs="Courier" w:hint="default"/>
      </w:rPr>
    </w:lvl>
    <w:lvl w:ilvl="2" w:tplc="04070005" w:tentative="1">
      <w:start w:val="1"/>
      <w:numFmt w:val="bullet"/>
      <w:lvlText w:val=""/>
      <w:lvlJc w:val="left"/>
      <w:pPr>
        <w:ind w:left="2236" w:hanging="360"/>
      </w:pPr>
      <w:rPr>
        <w:rFonts w:ascii="Wingdings" w:hAnsi="Wingdings" w:cs="Wingdings" w:hint="default"/>
      </w:rPr>
    </w:lvl>
    <w:lvl w:ilvl="3" w:tplc="04070001" w:tentative="1">
      <w:start w:val="1"/>
      <w:numFmt w:val="bullet"/>
      <w:lvlText w:val=""/>
      <w:lvlJc w:val="left"/>
      <w:pPr>
        <w:ind w:left="2956" w:hanging="360"/>
      </w:pPr>
      <w:rPr>
        <w:rFonts w:ascii="Symbol" w:hAnsi="Symbol" w:cs="Symbol" w:hint="default"/>
      </w:rPr>
    </w:lvl>
    <w:lvl w:ilvl="4" w:tplc="04070003" w:tentative="1">
      <w:start w:val="1"/>
      <w:numFmt w:val="bullet"/>
      <w:lvlText w:val="o"/>
      <w:lvlJc w:val="left"/>
      <w:pPr>
        <w:ind w:left="3676" w:hanging="360"/>
      </w:pPr>
      <w:rPr>
        <w:rFonts w:ascii="Courier" w:hAnsi="Courier" w:cs="Courier" w:hint="default"/>
      </w:rPr>
    </w:lvl>
    <w:lvl w:ilvl="5" w:tplc="04070005" w:tentative="1">
      <w:start w:val="1"/>
      <w:numFmt w:val="bullet"/>
      <w:lvlText w:val=""/>
      <w:lvlJc w:val="left"/>
      <w:pPr>
        <w:ind w:left="4396" w:hanging="360"/>
      </w:pPr>
      <w:rPr>
        <w:rFonts w:ascii="Wingdings" w:hAnsi="Wingdings" w:cs="Wingdings" w:hint="default"/>
      </w:rPr>
    </w:lvl>
    <w:lvl w:ilvl="6" w:tplc="04070001" w:tentative="1">
      <w:start w:val="1"/>
      <w:numFmt w:val="bullet"/>
      <w:lvlText w:val=""/>
      <w:lvlJc w:val="left"/>
      <w:pPr>
        <w:ind w:left="5116" w:hanging="360"/>
      </w:pPr>
      <w:rPr>
        <w:rFonts w:ascii="Symbol" w:hAnsi="Symbol" w:cs="Symbol" w:hint="default"/>
      </w:rPr>
    </w:lvl>
    <w:lvl w:ilvl="7" w:tplc="04070003" w:tentative="1">
      <w:start w:val="1"/>
      <w:numFmt w:val="bullet"/>
      <w:lvlText w:val="o"/>
      <w:lvlJc w:val="left"/>
      <w:pPr>
        <w:ind w:left="5836" w:hanging="360"/>
      </w:pPr>
      <w:rPr>
        <w:rFonts w:ascii="Courier" w:hAnsi="Courier" w:cs="Courier" w:hint="default"/>
      </w:rPr>
    </w:lvl>
    <w:lvl w:ilvl="8" w:tplc="04070005" w:tentative="1">
      <w:start w:val="1"/>
      <w:numFmt w:val="bullet"/>
      <w:lvlText w:val=""/>
      <w:lvlJc w:val="left"/>
      <w:pPr>
        <w:ind w:left="6556" w:hanging="360"/>
      </w:pPr>
      <w:rPr>
        <w:rFonts w:ascii="Wingdings" w:hAnsi="Wingdings" w:cs="Wingdings" w:hint="default"/>
      </w:rPr>
    </w:lvl>
  </w:abstractNum>
  <w:abstractNum w:abstractNumId="7" w15:restartNumberingAfterBreak="0">
    <w:nsid w:val="23150A61"/>
    <w:multiLevelType w:val="hybridMultilevel"/>
    <w:tmpl w:val="A2CCFA4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4E63526"/>
    <w:multiLevelType w:val="hybridMultilevel"/>
    <w:tmpl w:val="49140DBC"/>
    <w:lvl w:ilvl="0" w:tplc="84367A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0A79B9"/>
    <w:multiLevelType w:val="hybridMultilevel"/>
    <w:tmpl w:val="FA8A19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E84097"/>
    <w:multiLevelType w:val="hybridMultilevel"/>
    <w:tmpl w:val="241A3FE2"/>
    <w:lvl w:ilvl="0" w:tplc="C03C38C2">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cs="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15:restartNumberingAfterBreak="0">
    <w:nsid w:val="2981657A"/>
    <w:multiLevelType w:val="hybridMultilevel"/>
    <w:tmpl w:val="6A84C618"/>
    <w:lvl w:ilvl="0" w:tplc="04070001">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w:hAnsi="Courier" w:cs="Courier"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w:hAnsi="Courier" w:cs="Courier"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w:hAnsi="Courier" w:cs="Courier"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332832FE"/>
    <w:multiLevelType w:val="hybridMultilevel"/>
    <w:tmpl w:val="CD0029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446BFA"/>
    <w:multiLevelType w:val="hybridMultilevel"/>
    <w:tmpl w:val="C8CA97F0"/>
    <w:lvl w:ilvl="0" w:tplc="0D6094EC">
      <w:start w:val="1"/>
      <w:numFmt w:val="decimal"/>
      <w:lvlText w:val="%1."/>
      <w:lvlJc w:val="left"/>
      <w:pPr>
        <w:tabs>
          <w:tab w:val="num" w:pos="720"/>
        </w:tabs>
        <w:ind w:left="720" w:hanging="360"/>
      </w:pPr>
      <w:rPr>
        <w:rFonts w:hint="default"/>
        <w:b/>
        <w:b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15:restartNumberingAfterBreak="0">
    <w:nsid w:val="38A00DD1"/>
    <w:multiLevelType w:val="hybridMultilevel"/>
    <w:tmpl w:val="8A509B98"/>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BD21A0D"/>
    <w:multiLevelType w:val="hybridMultilevel"/>
    <w:tmpl w:val="118A4CF8"/>
    <w:lvl w:ilvl="0" w:tplc="2DEE4954">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62B1A30"/>
    <w:multiLevelType w:val="hybridMultilevel"/>
    <w:tmpl w:val="A2089BC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8EC4B0F"/>
    <w:multiLevelType w:val="hybridMultilevel"/>
    <w:tmpl w:val="A9C214C2"/>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9E46E59"/>
    <w:multiLevelType w:val="hybridMultilevel"/>
    <w:tmpl w:val="0206EF48"/>
    <w:lvl w:ilvl="0" w:tplc="04070001">
      <w:start w:val="1"/>
      <w:numFmt w:val="bullet"/>
      <w:lvlText w:val=""/>
      <w:lvlJc w:val="left"/>
      <w:pPr>
        <w:tabs>
          <w:tab w:val="num" w:pos="720"/>
        </w:tabs>
        <w:ind w:left="720" w:hanging="360"/>
      </w:pPr>
      <w:rPr>
        <w:rFonts w:ascii="Symbol" w:hAnsi="Symbol" w:cs="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9" w15:restartNumberingAfterBreak="0">
    <w:nsid w:val="4AEC761E"/>
    <w:multiLevelType w:val="hybridMultilevel"/>
    <w:tmpl w:val="71683B50"/>
    <w:lvl w:ilvl="0" w:tplc="2DEE495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EC17920"/>
    <w:multiLevelType w:val="hybridMultilevel"/>
    <w:tmpl w:val="000C4010"/>
    <w:lvl w:ilvl="0" w:tplc="3BEE9B22">
      <w:start w:val="1"/>
      <w:numFmt w:val="bullet"/>
      <w:lvlText w:val=""/>
      <w:lvlJc w:val="left"/>
      <w:pPr>
        <w:ind w:left="360" w:hanging="360"/>
      </w:pPr>
      <w:rPr>
        <w:rFonts w:ascii="Symbol" w:hAnsi="Symbol" w:cs="Symbol" w:hint="default"/>
        <w:sz w:val="16"/>
        <w:szCs w:val="16"/>
        <w:u w:color="C0504D"/>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501A334F"/>
    <w:multiLevelType w:val="hybridMultilevel"/>
    <w:tmpl w:val="6106C1CE"/>
    <w:lvl w:ilvl="0" w:tplc="04070001">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51F027D5"/>
    <w:multiLevelType w:val="hybridMultilevel"/>
    <w:tmpl w:val="C090CA9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550C7BE0"/>
    <w:multiLevelType w:val="hybridMultilevel"/>
    <w:tmpl w:val="4BA0AAE4"/>
    <w:lvl w:ilvl="0" w:tplc="04070001">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5F917924"/>
    <w:multiLevelType w:val="hybridMultilevel"/>
    <w:tmpl w:val="8102B1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1FF4FB8"/>
    <w:multiLevelType w:val="hybridMultilevel"/>
    <w:tmpl w:val="C8EA39F6"/>
    <w:lvl w:ilvl="0" w:tplc="7724332E">
      <w:start w:val="1"/>
      <w:numFmt w:val="lowerLetter"/>
      <w:lvlText w:val="%1)"/>
      <w:lvlJc w:val="left"/>
      <w:pPr>
        <w:ind w:left="720" w:hanging="360"/>
      </w:pPr>
      <w:rPr>
        <w:rFonts w:ascii="Calibri" w:hAnsi="Calibri" w:cs="Calibri"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7A85310"/>
    <w:multiLevelType w:val="hybridMultilevel"/>
    <w:tmpl w:val="198A3072"/>
    <w:lvl w:ilvl="0" w:tplc="A2B69B6C">
      <w:start w:val="1"/>
      <w:numFmt w:val="decimal"/>
      <w:lvlText w:val="%1."/>
      <w:lvlJc w:val="left"/>
      <w:pPr>
        <w:ind w:left="360" w:hanging="360"/>
      </w:pPr>
      <w:rPr>
        <w:rFonts w:ascii="Calibri" w:hAnsi="Calibri" w:cs="Calibri" w:hint="default"/>
        <w:u w:color="0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8A01D34"/>
    <w:multiLevelType w:val="hybridMultilevel"/>
    <w:tmpl w:val="0CD492DA"/>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6EC12745"/>
    <w:multiLevelType w:val="hybridMultilevel"/>
    <w:tmpl w:val="9F4A6482"/>
    <w:lvl w:ilvl="0" w:tplc="84367A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01602C"/>
    <w:multiLevelType w:val="hybridMultilevel"/>
    <w:tmpl w:val="733C3AEC"/>
    <w:lvl w:ilvl="0" w:tplc="7724332E">
      <w:start w:val="1"/>
      <w:numFmt w:val="lowerLetter"/>
      <w:lvlText w:val="%1)"/>
      <w:lvlJc w:val="left"/>
      <w:pPr>
        <w:ind w:left="720" w:hanging="360"/>
      </w:pPr>
      <w:rPr>
        <w:rFonts w:ascii="Calibri" w:hAnsi="Calibri" w:cs="Calibri"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3303A77"/>
    <w:multiLevelType w:val="hybridMultilevel"/>
    <w:tmpl w:val="6910E6F0"/>
    <w:lvl w:ilvl="0" w:tplc="04070001">
      <w:start w:val="1"/>
      <w:numFmt w:val="bullet"/>
      <w:lvlText w:val=""/>
      <w:lvlJc w:val="left"/>
      <w:pPr>
        <w:ind w:left="720" w:hanging="360"/>
      </w:pPr>
      <w:rPr>
        <w:rFonts w:ascii="Symbol" w:hAnsi="Symbol" w:cs="Symbol" w:hint="default"/>
      </w:rPr>
    </w:lvl>
    <w:lvl w:ilvl="1" w:tplc="04070001">
      <w:start w:val="1"/>
      <w:numFmt w:val="bullet"/>
      <w:lvlText w:val=""/>
      <w:lvlJc w:val="left"/>
      <w:pPr>
        <w:ind w:left="1440" w:hanging="360"/>
      </w:pPr>
      <w:rPr>
        <w:rFonts w:ascii="Symbol" w:hAnsi="Symbol" w:cs="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7F72381"/>
    <w:multiLevelType w:val="hybridMultilevel"/>
    <w:tmpl w:val="369A3352"/>
    <w:lvl w:ilvl="0" w:tplc="2DEE4954">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D200B2B"/>
    <w:multiLevelType w:val="hybridMultilevel"/>
    <w:tmpl w:val="0206EF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3" w15:restartNumberingAfterBreak="0">
    <w:nsid w:val="7F801B8F"/>
    <w:multiLevelType w:val="hybridMultilevel"/>
    <w:tmpl w:val="D5ACDB3E"/>
    <w:lvl w:ilvl="0" w:tplc="04070001">
      <w:start w:val="1"/>
      <w:numFmt w:val="bullet"/>
      <w:lvlText w:val=""/>
      <w:lvlJc w:val="left"/>
      <w:pPr>
        <w:ind w:left="1069" w:hanging="360"/>
      </w:pPr>
      <w:rPr>
        <w:rFonts w:ascii="Symbol" w:hAnsi="Symbol" w:cs="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cs="Wingdings" w:hint="default"/>
      </w:rPr>
    </w:lvl>
    <w:lvl w:ilvl="3" w:tplc="04070001" w:tentative="1">
      <w:start w:val="1"/>
      <w:numFmt w:val="bullet"/>
      <w:lvlText w:val=""/>
      <w:lvlJc w:val="left"/>
      <w:pPr>
        <w:ind w:left="3229" w:hanging="360"/>
      </w:pPr>
      <w:rPr>
        <w:rFonts w:ascii="Symbol" w:hAnsi="Symbol" w:cs="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cs="Wingdings" w:hint="default"/>
      </w:rPr>
    </w:lvl>
    <w:lvl w:ilvl="6" w:tplc="04070001" w:tentative="1">
      <w:start w:val="1"/>
      <w:numFmt w:val="bullet"/>
      <w:lvlText w:val=""/>
      <w:lvlJc w:val="left"/>
      <w:pPr>
        <w:ind w:left="5389" w:hanging="360"/>
      </w:pPr>
      <w:rPr>
        <w:rFonts w:ascii="Symbol" w:hAnsi="Symbol" w:cs="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cs="Wingdings" w:hint="default"/>
      </w:rPr>
    </w:lvl>
  </w:abstractNum>
  <w:num w:numId="1">
    <w:abstractNumId w:val="0"/>
  </w:num>
  <w:num w:numId="2">
    <w:abstractNumId w:val="0"/>
  </w:num>
  <w:num w:numId="3">
    <w:abstractNumId w:val="32"/>
  </w:num>
  <w:num w:numId="4">
    <w:abstractNumId w:val="18"/>
  </w:num>
  <w:num w:numId="5">
    <w:abstractNumId w:val="10"/>
  </w:num>
  <w:num w:numId="6">
    <w:abstractNumId w:val="13"/>
  </w:num>
  <w:num w:numId="7">
    <w:abstractNumId w:val="5"/>
  </w:num>
  <w:num w:numId="8">
    <w:abstractNumId w:val="0"/>
  </w:num>
  <w:num w:numId="9">
    <w:abstractNumId w:val="0"/>
  </w:num>
  <w:num w:numId="10">
    <w:abstractNumId w:val="20"/>
  </w:num>
  <w:num w:numId="11">
    <w:abstractNumId w:val="33"/>
  </w:num>
  <w:num w:numId="12">
    <w:abstractNumId w:val="12"/>
  </w:num>
  <w:num w:numId="13">
    <w:abstractNumId w:val="26"/>
  </w:num>
  <w:num w:numId="14">
    <w:abstractNumId w:val="15"/>
  </w:num>
  <w:num w:numId="15">
    <w:abstractNumId w:val="24"/>
  </w:num>
  <w:num w:numId="16">
    <w:abstractNumId w:val="28"/>
  </w:num>
  <w:num w:numId="17">
    <w:abstractNumId w:val="8"/>
  </w:num>
  <w:num w:numId="18">
    <w:abstractNumId w:val="31"/>
  </w:num>
  <w:num w:numId="19">
    <w:abstractNumId w:val="19"/>
  </w:num>
  <w:num w:numId="20">
    <w:abstractNumId w:val="1"/>
  </w:num>
  <w:num w:numId="21">
    <w:abstractNumId w:val="29"/>
  </w:num>
  <w:num w:numId="22">
    <w:abstractNumId w:val="25"/>
  </w:num>
  <w:num w:numId="23">
    <w:abstractNumId w:val="9"/>
  </w:num>
  <w:num w:numId="24">
    <w:abstractNumId w:val="22"/>
  </w:num>
  <w:num w:numId="25">
    <w:abstractNumId w:val="27"/>
  </w:num>
  <w:num w:numId="26">
    <w:abstractNumId w:val="11"/>
  </w:num>
  <w:num w:numId="27">
    <w:abstractNumId w:val="23"/>
  </w:num>
  <w:num w:numId="28">
    <w:abstractNumId w:val="3"/>
  </w:num>
  <w:num w:numId="29">
    <w:abstractNumId w:val="7"/>
  </w:num>
  <w:num w:numId="30">
    <w:abstractNumId w:val="21"/>
  </w:num>
  <w:num w:numId="31">
    <w:abstractNumId w:val="6"/>
  </w:num>
  <w:num w:numId="32">
    <w:abstractNumId w:val="4"/>
  </w:num>
  <w:num w:numId="33">
    <w:abstractNumId w:val="2"/>
  </w:num>
  <w:num w:numId="34">
    <w:abstractNumId w:val="14"/>
  </w:num>
  <w:num w:numId="35">
    <w:abstractNumId w:val="17"/>
  </w:num>
  <w:num w:numId="36">
    <w:abstractNumId w:val="1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20"/>
    <w:rsid w:val="00002425"/>
    <w:rsid w:val="00002A14"/>
    <w:rsid w:val="000709B4"/>
    <w:rsid w:val="000C4B81"/>
    <w:rsid w:val="000F2FE9"/>
    <w:rsid w:val="0010182A"/>
    <w:rsid w:val="001308E9"/>
    <w:rsid w:val="001463F4"/>
    <w:rsid w:val="00165524"/>
    <w:rsid w:val="002262F1"/>
    <w:rsid w:val="0025169C"/>
    <w:rsid w:val="00267831"/>
    <w:rsid w:val="002A1F0D"/>
    <w:rsid w:val="0032519D"/>
    <w:rsid w:val="003C6D3C"/>
    <w:rsid w:val="00435D6C"/>
    <w:rsid w:val="00456ECC"/>
    <w:rsid w:val="00482420"/>
    <w:rsid w:val="0050576B"/>
    <w:rsid w:val="005477A5"/>
    <w:rsid w:val="00572477"/>
    <w:rsid w:val="00590334"/>
    <w:rsid w:val="00590D24"/>
    <w:rsid w:val="005D6125"/>
    <w:rsid w:val="00600E71"/>
    <w:rsid w:val="0064508C"/>
    <w:rsid w:val="00645332"/>
    <w:rsid w:val="00696F54"/>
    <w:rsid w:val="006B2D36"/>
    <w:rsid w:val="006C40F3"/>
    <w:rsid w:val="006E0C4E"/>
    <w:rsid w:val="006E7E51"/>
    <w:rsid w:val="0072402E"/>
    <w:rsid w:val="0074539B"/>
    <w:rsid w:val="00752CD2"/>
    <w:rsid w:val="00774A1F"/>
    <w:rsid w:val="00775B3B"/>
    <w:rsid w:val="007D4935"/>
    <w:rsid w:val="00803548"/>
    <w:rsid w:val="008A622C"/>
    <w:rsid w:val="008C4F0F"/>
    <w:rsid w:val="008F0368"/>
    <w:rsid w:val="00997B6D"/>
    <w:rsid w:val="009A5130"/>
    <w:rsid w:val="009C4B3F"/>
    <w:rsid w:val="009C60AA"/>
    <w:rsid w:val="00B10A53"/>
    <w:rsid w:val="00B5442C"/>
    <w:rsid w:val="00BE1465"/>
    <w:rsid w:val="00C05B3C"/>
    <w:rsid w:val="00CC12A7"/>
    <w:rsid w:val="00CE3668"/>
    <w:rsid w:val="00CF3D77"/>
    <w:rsid w:val="00D6118B"/>
    <w:rsid w:val="00D74F43"/>
    <w:rsid w:val="00DB6B70"/>
    <w:rsid w:val="00E5442D"/>
    <w:rsid w:val="00E93FF3"/>
    <w:rsid w:val="00F34C07"/>
    <w:rsid w:val="00F82667"/>
    <w:rsid w:val="00F90510"/>
    <w:rsid w:val="00FA1D01"/>
    <w:rsid w:val="00FC45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B20B37-F560-4498-97AC-28A8D21C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576B"/>
    <w:pPr>
      <w:spacing w:after="180"/>
    </w:pPr>
    <w:rPr>
      <w:rFonts w:ascii="Arial" w:hAnsi="Arial" w:cs="Arial"/>
    </w:rPr>
  </w:style>
  <w:style w:type="paragraph" w:styleId="berschrift1">
    <w:name w:val="heading 1"/>
    <w:basedOn w:val="Standard"/>
    <w:next w:val="Standard"/>
    <w:link w:val="berschrift1Zchn"/>
    <w:uiPriority w:val="99"/>
    <w:qFormat/>
    <w:rsid w:val="0050576B"/>
    <w:pPr>
      <w:keepNext/>
      <w:spacing w:before="240" w:after="240"/>
      <w:outlineLvl w:val="0"/>
    </w:pPr>
    <w:rPr>
      <w:b/>
      <w:bCs/>
      <w:sz w:val="28"/>
      <w:szCs w:val="28"/>
    </w:rPr>
  </w:style>
  <w:style w:type="paragraph" w:styleId="berschrift2">
    <w:name w:val="heading 2"/>
    <w:basedOn w:val="Standard"/>
    <w:next w:val="Standard"/>
    <w:link w:val="berschrift2Zchn"/>
    <w:uiPriority w:val="99"/>
    <w:qFormat/>
    <w:rsid w:val="0050576B"/>
    <w:pPr>
      <w:keepNext/>
      <w:spacing w:before="320" w:after="120"/>
      <w:outlineLvl w:val="1"/>
    </w:pPr>
    <w:rPr>
      <w:b/>
      <w:bCs/>
      <w:sz w:val="24"/>
      <w:szCs w:val="24"/>
    </w:rPr>
  </w:style>
  <w:style w:type="paragraph" w:styleId="berschrift3">
    <w:name w:val="heading 3"/>
    <w:basedOn w:val="Standard"/>
    <w:next w:val="Standard"/>
    <w:link w:val="berschrift3Zchn"/>
    <w:uiPriority w:val="99"/>
    <w:qFormat/>
    <w:rsid w:val="0050576B"/>
    <w:pPr>
      <w:keepNext/>
      <w:spacing w:after="0"/>
      <w:outlineLvl w:val="2"/>
    </w:pPr>
    <w:rPr>
      <w:b/>
      <w:bCs/>
    </w:rPr>
  </w:style>
  <w:style w:type="paragraph" w:styleId="berschrift4">
    <w:name w:val="heading 4"/>
    <w:basedOn w:val="Standard"/>
    <w:next w:val="Standard"/>
    <w:link w:val="berschrift4Zchn"/>
    <w:uiPriority w:val="99"/>
    <w:qFormat/>
    <w:rsid w:val="0050576B"/>
    <w:pPr>
      <w:keepNext/>
      <w:spacing w:after="0"/>
      <w:outlineLvl w:val="3"/>
    </w:pPr>
    <w:rPr>
      <w:i/>
      <w:iCs/>
    </w:rPr>
  </w:style>
  <w:style w:type="paragraph" w:styleId="berschrift5">
    <w:name w:val="heading 5"/>
    <w:basedOn w:val="Standard"/>
    <w:next w:val="Standard"/>
    <w:link w:val="berschrift5Zchn"/>
    <w:uiPriority w:val="99"/>
    <w:qFormat/>
    <w:rsid w:val="0050576B"/>
    <w:pPr>
      <w:keepNext/>
      <w:outlineLvl w:val="4"/>
    </w:pPr>
    <w:rPr>
      <w:b/>
      <w:bCs/>
      <w:caps/>
      <w:color w:val="000066"/>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6D65"/>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A16D65"/>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A16D65"/>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A16D65"/>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A16D65"/>
    <w:rPr>
      <w:rFonts w:asciiTheme="minorHAnsi" w:eastAsiaTheme="minorEastAsia" w:hAnsiTheme="minorHAnsi" w:cstheme="minorBidi"/>
      <w:b/>
      <w:bCs/>
      <w:i/>
      <w:iCs/>
      <w:sz w:val="26"/>
      <w:szCs w:val="26"/>
    </w:rPr>
  </w:style>
  <w:style w:type="paragraph" w:styleId="Kopfzeile">
    <w:name w:val="header"/>
    <w:basedOn w:val="Standard"/>
    <w:link w:val="KopfzeileZchn"/>
    <w:uiPriority w:val="99"/>
    <w:semiHidden/>
    <w:rsid w:val="0050576B"/>
    <w:pPr>
      <w:tabs>
        <w:tab w:val="center" w:pos="4536"/>
        <w:tab w:val="right" w:pos="9072"/>
      </w:tabs>
    </w:pPr>
  </w:style>
  <w:style w:type="character" w:customStyle="1" w:styleId="KopfzeileZchn">
    <w:name w:val="Kopfzeile Zchn"/>
    <w:basedOn w:val="Absatz-Standardschriftart"/>
    <w:link w:val="Kopfzeile"/>
    <w:uiPriority w:val="99"/>
    <w:semiHidden/>
    <w:rsid w:val="00A16D65"/>
    <w:rPr>
      <w:rFonts w:ascii="Arial" w:hAnsi="Arial" w:cs="Arial"/>
    </w:rPr>
  </w:style>
  <w:style w:type="paragraph" w:styleId="Fuzeile">
    <w:name w:val="footer"/>
    <w:basedOn w:val="Standard"/>
    <w:link w:val="FuzeileZchn"/>
    <w:uiPriority w:val="99"/>
    <w:semiHidden/>
    <w:rsid w:val="0050576B"/>
    <w:pPr>
      <w:tabs>
        <w:tab w:val="center" w:pos="4536"/>
        <w:tab w:val="right" w:pos="9072"/>
      </w:tabs>
    </w:pPr>
  </w:style>
  <w:style w:type="character" w:customStyle="1" w:styleId="FuzeileZchn">
    <w:name w:val="Fußzeile Zchn"/>
    <w:basedOn w:val="Absatz-Standardschriftart"/>
    <w:link w:val="Fuzeile"/>
    <w:uiPriority w:val="99"/>
    <w:semiHidden/>
    <w:rsid w:val="00A16D65"/>
    <w:rPr>
      <w:rFonts w:ascii="Arial" w:hAnsi="Arial" w:cs="Arial"/>
    </w:rPr>
  </w:style>
  <w:style w:type="character" w:styleId="Hyperlink">
    <w:name w:val="Hyperlink"/>
    <w:basedOn w:val="Absatz-Standardschriftart"/>
    <w:uiPriority w:val="99"/>
    <w:semiHidden/>
    <w:rsid w:val="0050576B"/>
    <w:rPr>
      <w:rFonts w:ascii="Arial" w:hAnsi="Arial" w:cs="Arial"/>
      <w:color w:val="000000"/>
      <w:sz w:val="22"/>
      <w:szCs w:val="22"/>
      <w:u w:val="single" w:color="000000"/>
    </w:rPr>
  </w:style>
  <w:style w:type="character" w:styleId="BesuchterHyperlink">
    <w:name w:val="FollowedHyperlink"/>
    <w:basedOn w:val="Absatz-Standardschriftart"/>
    <w:uiPriority w:val="99"/>
    <w:semiHidden/>
    <w:rsid w:val="0050576B"/>
    <w:rPr>
      <w:rFonts w:ascii="Arial" w:hAnsi="Arial" w:cs="Arial"/>
      <w:color w:val="000000"/>
      <w:sz w:val="22"/>
      <w:szCs w:val="22"/>
      <w:u w:val="single" w:color="000000"/>
    </w:rPr>
  </w:style>
  <w:style w:type="paragraph" w:styleId="Aufzhlungszeichen">
    <w:name w:val="List Bullet"/>
    <w:basedOn w:val="Standard"/>
    <w:autoRedefine/>
    <w:uiPriority w:val="99"/>
    <w:semiHidden/>
    <w:rsid w:val="0050576B"/>
    <w:pPr>
      <w:numPr>
        <w:numId w:val="7"/>
      </w:numPr>
      <w:tabs>
        <w:tab w:val="clear" w:pos="720"/>
        <w:tab w:val="num" w:pos="360"/>
      </w:tabs>
      <w:spacing w:after="120"/>
      <w:ind w:left="357" w:hanging="357"/>
    </w:pPr>
  </w:style>
  <w:style w:type="character" w:styleId="Kommentarzeichen">
    <w:name w:val="annotation reference"/>
    <w:basedOn w:val="Absatz-Standardschriftart"/>
    <w:uiPriority w:val="99"/>
    <w:semiHidden/>
    <w:rsid w:val="00E5442D"/>
    <w:rPr>
      <w:sz w:val="16"/>
      <w:szCs w:val="16"/>
    </w:rPr>
  </w:style>
  <w:style w:type="paragraph" w:styleId="Kommentartext">
    <w:name w:val="annotation text"/>
    <w:basedOn w:val="Standard"/>
    <w:link w:val="KommentartextZchn"/>
    <w:uiPriority w:val="99"/>
    <w:semiHidden/>
    <w:rsid w:val="00E5442D"/>
    <w:pPr>
      <w:spacing w:after="0"/>
    </w:pPr>
    <w:rPr>
      <w:rFonts w:ascii="Calibri" w:hAnsi="Calibri" w:cs="Calibri"/>
      <w:sz w:val="20"/>
      <w:szCs w:val="20"/>
    </w:rPr>
  </w:style>
  <w:style w:type="character" w:customStyle="1" w:styleId="KommentartextZchn">
    <w:name w:val="Kommentartext Zchn"/>
    <w:basedOn w:val="Absatz-Standardschriftart"/>
    <w:link w:val="Kommentartext"/>
    <w:uiPriority w:val="99"/>
    <w:semiHidden/>
    <w:rsid w:val="00E5442D"/>
    <w:rPr>
      <w:rFonts w:ascii="Calibri" w:hAnsi="Calibri" w:cs="Calibri"/>
    </w:rPr>
  </w:style>
  <w:style w:type="paragraph" w:styleId="Listenabsatz">
    <w:name w:val="List Paragraph"/>
    <w:basedOn w:val="Standard"/>
    <w:uiPriority w:val="99"/>
    <w:qFormat/>
    <w:rsid w:val="006B2D36"/>
    <w:pPr>
      <w:ind w:left="720"/>
      <w:contextualSpacing/>
    </w:pPr>
  </w:style>
  <w:style w:type="paragraph" w:styleId="Kommentarthema">
    <w:name w:val="annotation subject"/>
    <w:basedOn w:val="Kommentartext"/>
    <w:next w:val="Kommentartext"/>
    <w:link w:val="KommentarthemaZchn"/>
    <w:uiPriority w:val="99"/>
    <w:semiHidden/>
    <w:rsid w:val="008F0368"/>
    <w:pPr>
      <w:spacing w:after="180"/>
    </w:pPr>
    <w:rPr>
      <w:rFonts w:ascii="Arial" w:hAnsi="Arial" w:cs="Arial"/>
      <w:b/>
      <w:bCs/>
    </w:rPr>
  </w:style>
  <w:style w:type="character" w:customStyle="1" w:styleId="KommentarthemaZchn">
    <w:name w:val="Kommentarthema Zchn"/>
    <w:basedOn w:val="KommentartextZchn"/>
    <w:link w:val="Kommentarthema"/>
    <w:uiPriority w:val="99"/>
    <w:semiHidden/>
    <w:rsid w:val="008F0368"/>
    <w:rPr>
      <w:rFonts w:ascii="Arial" w:hAnsi="Arial" w:cs="Arial"/>
      <w:b/>
      <w:bCs/>
    </w:rPr>
  </w:style>
  <w:style w:type="paragraph" w:styleId="berarbeitung">
    <w:name w:val="Revision"/>
    <w:hidden/>
    <w:uiPriority w:val="99"/>
    <w:semiHidden/>
    <w:rsid w:val="008F0368"/>
    <w:rPr>
      <w:rFonts w:ascii="Arial" w:hAnsi="Arial" w:cs="Arial"/>
    </w:rPr>
  </w:style>
  <w:style w:type="paragraph" w:styleId="Sprechblasentext">
    <w:name w:val="Balloon Text"/>
    <w:basedOn w:val="Standard"/>
    <w:link w:val="SprechblasentextZchn"/>
    <w:uiPriority w:val="99"/>
    <w:semiHidden/>
    <w:rsid w:val="008F036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368"/>
    <w:rPr>
      <w:rFonts w:ascii="Tahoma" w:hAnsi="Tahoma" w:cs="Tahoma"/>
      <w:sz w:val="16"/>
      <w:szCs w:val="16"/>
    </w:rPr>
  </w:style>
  <w:style w:type="paragraph" w:styleId="Funotentext">
    <w:name w:val="footnote text"/>
    <w:basedOn w:val="Standard"/>
    <w:link w:val="FunotentextZchn"/>
    <w:uiPriority w:val="99"/>
    <w:semiHidden/>
    <w:rsid w:val="00165524"/>
    <w:pPr>
      <w:spacing w:after="0" w:line="269" w:lineRule="auto"/>
    </w:pPr>
    <w:rPr>
      <w:rFonts w:ascii="Cambria" w:hAnsi="Cambria" w:cs="Cambria"/>
      <w:sz w:val="24"/>
      <w:szCs w:val="24"/>
      <w:lang w:eastAsia="ja-JP"/>
    </w:rPr>
  </w:style>
  <w:style w:type="character" w:customStyle="1" w:styleId="FunotentextZchn">
    <w:name w:val="Fußnotentext Zchn"/>
    <w:basedOn w:val="Absatz-Standardschriftart"/>
    <w:link w:val="Funotentext"/>
    <w:uiPriority w:val="99"/>
    <w:rsid w:val="00165524"/>
    <w:rPr>
      <w:rFonts w:ascii="Cambria" w:hAnsi="Cambria" w:cs="Cambria"/>
      <w:sz w:val="24"/>
      <w:szCs w:val="24"/>
      <w:lang w:eastAsia="ja-JP"/>
    </w:rPr>
  </w:style>
  <w:style w:type="character" w:styleId="Funotenzeichen">
    <w:name w:val="footnote reference"/>
    <w:basedOn w:val="Absatz-Standardschriftart"/>
    <w:uiPriority w:val="99"/>
    <w:semiHidden/>
    <w:rsid w:val="0016552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90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ehrer-online.de/unterricht/sekundarstufen/geisteswissenschaften/religion-ethik/unterrichtseinheit/ue/alkohol-und-drogen-im-strassenverk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7846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Schulen ans Netz e. V.</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Ariane Huster</cp:lastModifiedBy>
  <cp:revision>3</cp:revision>
  <cp:lastPrinted>2002-10-10T10:02:00Z</cp:lastPrinted>
  <dcterms:created xsi:type="dcterms:W3CDTF">2016-12-19T10:24:00Z</dcterms:created>
  <dcterms:modified xsi:type="dcterms:W3CDTF">2016-12-19T13:32:00Z</dcterms:modified>
</cp:coreProperties>
</file>